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7A" w:rsidRDefault="00B1207A" w:rsidP="00B1207A">
      <w:pPr>
        <w:jc w:val="center"/>
        <w:rPr>
          <w:rFonts w:cstheme="minorHAnsi"/>
          <w:sz w:val="28"/>
          <w:szCs w:val="28"/>
        </w:rPr>
      </w:pPr>
    </w:p>
    <w:p w:rsidR="00B1207A" w:rsidRDefault="00B1207A" w:rsidP="00B1207A">
      <w:pPr>
        <w:jc w:val="center"/>
        <w:rPr>
          <w:rFonts w:ascii="Arial" w:hAnsi="Arial" w:cs="Arial"/>
          <w:b/>
          <w:sz w:val="28"/>
          <w:szCs w:val="28"/>
          <w:u w:val="single"/>
        </w:rPr>
      </w:pPr>
      <w:r w:rsidRPr="00BD18E2">
        <w:rPr>
          <w:rFonts w:ascii="Arial" w:hAnsi="Arial" w:cs="Arial"/>
          <w:b/>
          <w:sz w:val="28"/>
          <w:szCs w:val="28"/>
          <w:u w:val="single"/>
        </w:rPr>
        <w:t>Appropriatezza d’uso dei NAO e Nota 97 AIFA</w:t>
      </w:r>
    </w:p>
    <w:p w:rsidR="00BD18E2" w:rsidRPr="00BD18E2" w:rsidRDefault="00BD18E2" w:rsidP="00B1207A">
      <w:pPr>
        <w:jc w:val="center"/>
        <w:rPr>
          <w:rFonts w:ascii="Arial" w:hAnsi="Arial" w:cs="Arial"/>
          <w:b/>
          <w:sz w:val="28"/>
          <w:szCs w:val="28"/>
          <w:u w:val="single"/>
        </w:rPr>
      </w:pPr>
    </w:p>
    <w:p w:rsidR="00B1207A" w:rsidRPr="00BD18E2" w:rsidRDefault="00B1207A" w:rsidP="00BD18E2">
      <w:pPr>
        <w:spacing w:line="360" w:lineRule="auto"/>
        <w:jc w:val="both"/>
        <w:rPr>
          <w:rFonts w:ascii="Arial" w:hAnsi="Arial" w:cs="Arial"/>
          <w:sz w:val="24"/>
          <w:szCs w:val="24"/>
        </w:rPr>
      </w:pPr>
      <w:r w:rsidRPr="00BD18E2">
        <w:rPr>
          <w:rFonts w:ascii="Arial" w:hAnsi="Arial" w:cs="Arial"/>
          <w:sz w:val="24"/>
          <w:szCs w:val="24"/>
        </w:rPr>
        <w:t>Questo documento nasce dall’esigenza di riassumere</w:t>
      </w:r>
      <w:r w:rsidR="00053EA2" w:rsidRPr="00BD18E2">
        <w:rPr>
          <w:rFonts w:ascii="Arial" w:hAnsi="Arial" w:cs="Arial"/>
          <w:sz w:val="24"/>
          <w:szCs w:val="24"/>
        </w:rPr>
        <w:t xml:space="preserve"> e rappresentare in modo sintetico e fruibile dai prescrit</w:t>
      </w:r>
      <w:r w:rsidR="00BD18E2" w:rsidRPr="00BD18E2">
        <w:rPr>
          <w:rFonts w:ascii="Arial" w:hAnsi="Arial" w:cs="Arial"/>
          <w:sz w:val="24"/>
          <w:szCs w:val="24"/>
        </w:rPr>
        <w:t>tori</w:t>
      </w:r>
      <w:r w:rsidR="00D73FE5" w:rsidRPr="00BD18E2">
        <w:rPr>
          <w:rFonts w:ascii="Arial" w:hAnsi="Arial" w:cs="Arial"/>
          <w:sz w:val="24"/>
          <w:szCs w:val="24"/>
        </w:rPr>
        <w:t xml:space="preserve"> </w:t>
      </w:r>
      <w:r w:rsidRPr="00BD18E2">
        <w:rPr>
          <w:rFonts w:ascii="Arial" w:hAnsi="Arial" w:cs="Arial"/>
          <w:sz w:val="24"/>
          <w:szCs w:val="24"/>
        </w:rPr>
        <w:t xml:space="preserve">SSN che operano all’interno dell’Azienda le </w:t>
      </w:r>
      <w:r w:rsidR="00C76C4A" w:rsidRPr="00BD18E2">
        <w:rPr>
          <w:rFonts w:ascii="Arial" w:hAnsi="Arial" w:cs="Arial"/>
          <w:sz w:val="24"/>
          <w:szCs w:val="24"/>
        </w:rPr>
        <w:t>principali</w:t>
      </w:r>
      <w:r w:rsidRPr="00BD18E2">
        <w:rPr>
          <w:rFonts w:ascii="Arial" w:hAnsi="Arial" w:cs="Arial"/>
          <w:sz w:val="24"/>
          <w:szCs w:val="24"/>
        </w:rPr>
        <w:t xml:space="preserve"> specificit</w:t>
      </w:r>
      <w:r w:rsidR="00053EA2" w:rsidRPr="00BD18E2">
        <w:rPr>
          <w:rFonts w:ascii="Arial" w:hAnsi="Arial" w:cs="Arial"/>
          <w:sz w:val="24"/>
          <w:szCs w:val="24"/>
        </w:rPr>
        <w:t>à dei diversi NAO attualmente autorizzati anche alla luce della nota AIFA 97 che ha allargato la prescrizione oltre agli specialisti anche ai medici di medicina generale.</w:t>
      </w:r>
    </w:p>
    <w:p w:rsidR="00D73FE5" w:rsidRPr="00BD18E2" w:rsidRDefault="00C76C4A" w:rsidP="00BD18E2">
      <w:pPr>
        <w:spacing w:line="360" w:lineRule="auto"/>
        <w:jc w:val="both"/>
        <w:rPr>
          <w:rFonts w:ascii="Arial" w:hAnsi="Arial" w:cs="Arial"/>
          <w:sz w:val="24"/>
          <w:szCs w:val="24"/>
        </w:rPr>
      </w:pPr>
      <w:r w:rsidRPr="00BD18E2">
        <w:rPr>
          <w:rFonts w:ascii="Arial" w:hAnsi="Arial" w:cs="Arial"/>
          <w:sz w:val="24"/>
          <w:szCs w:val="24"/>
        </w:rPr>
        <w:t xml:space="preserve">I nuovi anticoagulanti orali (NAO) agiscono </w:t>
      </w:r>
      <w:r w:rsidR="00D73FE5" w:rsidRPr="00BD18E2">
        <w:rPr>
          <w:rFonts w:ascii="Arial" w:hAnsi="Arial" w:cs="Arial"/>
          <w:sz w:val="24"/>
          <w:szCs w:val="24"/>
        </w:rPr>
        <w:t>su diversi punti di attacco della cascata coagulatoria.</w:t>
      </w:r>
    </w:p>
    <w:p w:rsidR="00F6445F" w:rsidRPr="00BD18E2" w:rsidRDefault="00D73FE5" w:rsidP="00BD18E2">
      <w:pPr>
        <w:spacing w:line="360" w:lineRule="auto"/>
        <w:jc w:val="both"/>
        <w:rPr>
          <w:rFonts w:ascii="Arial" w:hAnsi="Arial" w:cs="Arial"/>
          <w:sz w:val="24"/>
          <w:szCs w:val="24"/>
        </w:rPr>
      </w:pPr>
      <w:r w:rsidRPr="00BD18E2">
        <w:rPr>
          <w:rFonts w:ascii="Arial" w:hAnsi="Arial" w:cs="Arial"/>
          <w:sz w:val="24"/>
          <w:szCs w:val="24"/>
        </w:rPr>
        <w:t xml:space="preserve">Il </w:t>
      </w:r>
      <w:r w:rsidR="00C76C4A" w:rsidRPr="00BD18E2">
        <w:rPr>
          <w:rFonts w:ascii="Arial" w:hAnsi="Arial" w:cs="Arial"/>
          <w:sz w:val="24"/>
          <w:szCs w:val="24"/>
        </w:rPr>
        <w:t>dabigatran</w:t>
      </w:r>
      <w:r w:rsidRPr="00BD18E2">
        <w:rPr>
          <w:rFonts w:ascii="Arial" w:hAnsi="Arial" w:cs="Arial"/>
          <w:sz w:val="24"/>
          <w:szCs w:val="24"/>
        </w:rPr>
        <w:t xml:space="preserve"> quale </w:t>
      </w:r>
      <w:r w:rsidR="00C76C4A" w:rsidRPr="00BD18E2">
        <w:rPr>
          <w:rFonts w:ascii="Arial" w:hAnsi="Arial" w:cs="Arial"/>
          <w:sz w:val="24"/>
          <w:szCs w:val="24"/>
        </w:rPr>
        <w:t>inibitore diret</w:t>
      </w:r>
      <w:r w:rsidRPr="00BD18E2">
        <w:rPr>
          <w:rFonts w:ascii="Arial" w:hAnsi="Arial" w:cs="Arial"/>
          <w:sz w:val="24"/>
          <w:szCs w:val="24"/>
        </w:rPr>
        <w:t>to e reversibile della trombina</w:t>
      </w:r>
      <w:r w:rsidR="00C76C4A" w:rsidRPr="00BD18E2">
        <w:rPr>
          <w:rFonts w:ascii="Arial" w:hAnsi="Arial" w:cs="Arial"/>
          <w:sz w:val="24"/>
          <w:szCs w:val="24"/>
        </w:rPr>
        <w:t>, rivaroxaban, apixaban ed edoxaban,</w:t>
      </w:r>
      <w:r w:rsidRPr="00BD18E2">
        <w:rPr>
          <w:rFonts w:ascii="Arial" w:hAnsi="Arial" w:cs="Arial"/>
          <w:sz w:val="24"/>
          <w:szCs w:val="24"/>
        </w:rPr>
        <w:t xml:space="preserve"> come inibitori diretti del fattore X attivato e m</w:t>
      </w:r>
      <w:r w:rsidR="00907C9E" w:rsidRPr="00BD18E2">
        <w:rPr>
          <w:rFonts w:ascii="Arial" w:hAnsi="Arial" w:cs="Arial"/>
          <w:sz w:val="24"/>
          <w:szCs w:val="24"/>
        </w:rPr>
        <w:t xml:space="preserve">ostrano differenze significative per quanto riguarda il profilo farmacocinetico e la sicurezza, caratteristiche che devono essere considerate per personalizzare la terapia in base alle condizioni fisiopatologiche del paziente. </w:t>
      </w:r>
    </w:p>
    <w:p w:rsidR="00D73FE5" w:rsidRPr="00BD18E2" w:rsidRDefault="00907C9E" w:rsidP="00BD18E2">
      <w:pPr>
        <w:spacing w:line="360" w:lineRule="auto"/>
        <w:jc w:val="both"/>
        <w:rPr>
          <w:rFonts w:ascii="Arial" w:hAnsi="Arial" w:cs="Arial"/>
          <w:sz w:val="24"/>
          <w:szCs w:val="24"/>
        </w:rPr>
      </w:pPr>
      <w:r w:rsidRPr="00BD18E2">
        <w:rPr>
          <w:rFonts w:ascii="Arial" w:hAnsi="Arial" w:cs="Arial"/>
          <w:sz w:val="24"/>
          <w:szCs w:val="24"/>
        </w:rPr>
        <w:t>I NAO, sulla base del loro profilo farmacologico e dai dati emersi negli studi clinici di confronto con warfarin, rappresentano un’importante evoluzione ed un armamentario terapeutico di estremo valore per il trattamento dei pazienti a rischio di complicanze trombo</w:t>
      </w:r>
      <w:r w:rsidR="000744B8" w:rsidRPr="00BD18E2">
        <w:rPr>
          <w:rFonts w:ascii="Arial" w:hAnsi="Arial" w:cs="Arial"/>
          <w:sz w:val="24"/>
          <w:szCs w:val="24"/>
        </w:rPr>
        <w:t xml:space="preserve">tiche. </w:t>
      </w:r>
      <w:r w:rsidR="00D73FE5" w:rsidRPr="00BD18E2">
        <w:rPr>
          <w:rFonts w:ascii="Arial" w:hAnsi="Arial" w:cs="Arial"/>
          <w:sz w:val="24"/>
          <w:szCs w:val="24"/>
        </w:rPr>
        <w:t xml:space="preserve">La terapia anticoagulante orale è ampiamente utilizzata per prevenire e trattare gli eventi tromboembolici. </w:t>
      </w:r>
    </w:p>
    <w:p w:rsidR="00907C9E" w:rsidRPr="00BD18E2" w:rsidRDefault="00907C9E" w:rsidP="00BD18E2">
      <w:pPr>
        <w:spacing w:line="360" w:lineRule="auto"/>
        <w:jc w:val="both"/>
        <w:rPr>
          <w:rFonts w:ascii="Arial" w:hAnsi="Arial" w:cs="Arial"/>
          <w:sz w:val="24"/>
          <w:szCs w:val="24"/>
        </w:rPr>
      </w:pPr>
      <w:r w:rsidRPr="00BD18E2">
        <w:rPr>
          <w:rFonts w:ascii="Arial" w:hAnsi="Arial" w:cs="Arial"/>
          <w:sz w:val="24"/>
          <w:szCs w:val="24"/>
        </w:rPr>
        <w:t>Anche nei confronti della prevenzione della fibrillazione atriale i NAO hanno confermato nella pratica clinica i ri</w:t>
      </w:r>
      <w:r w:rsidR="00D73FE5" w:rsidRPr="00BD18E2">
        <w:rPr>
          <w:rFonts w:ascii="Arial" w:hAnsi="Arial" w:cs="Arial"/>
          <w:sz w:val="24"/>
          <w:szCs w:val="24"/>
        </w:rPr>
        <w:t>s</w:t>
      </w:r>
      <w:r w:rsidRPr="00BD18E2">
        <w:rPr>
          <w:rFonts w:ascii="Arial" w:hAnsi="Arial" w:cs="Arial"/>
          <w:sz w:val="24"/>
          <w:szCs w:val="24"/>
        </w:rPr>
        <w:t>ultati di efficacia e sicurezza</w:t>
      </w:r>
      <w:r w:rsidR="000744B8" w:rsidRPr="00BD18E2">
        <w:rPr>
          <w:rFonts w:ascii="Arial" w:hAnsi="Arial" w:cs="Arial"/>
          <w:sz w:val="24"/>
          <w:szCs w:val="24"/>
        </w:rPr>
        <w:t xml:space="preserve"> di</w:t>
      </w:r>
      <w:r w:rsidR="00D73FE5" w:rsidRPr="00BD18E2">
        <w:rPr>
          <w:rFonts w:ascii="Arial" w:hAnsi="Arial" w:cs="Arial"/>
          <w:sz w:val="24"/>
          <w:szCs w:val="24"/>
        </w:rPr>
        <w:t xml:space="preserve">mostrata negli studi clinici di confronto con il warfarin </w:t>
      </w:r>
      <w:r w:rsidRPr="00BD18E2">
        <w:rPr>
          <w:rFonts w:ascii="Arial" w:hAnsi="Arial" w:cs="Arial"/>
          <w:sz w:val="24"/>
          <w:szCs w:val="24"/>
        </w:rPr>
        <w:t xml:space="preserve"> che hanno portato alla</w:t>
      </w:r>
      <w:r w:rsidR="00486E46" w:rsidRPr="00BD18E2">
        <w:rPr>
          <w:rFonts w:ascii="Arial" w:hAnsi="Arial" w:cs="Arial"/>
          <w:sz w:val="24"/>
          <w:szCs w:val="24"/>
        </w:rPr>
        <w:t xml:space="preserve"> loro immissione in commercio tanto che AIFA ha  </w:t>
      </w:r>
      <w:r w:rsidR="00486E46" w:rsidRPr="00BD18E2">
        <w:rPr>
          <w:rFonts w:ascii="Arial" w:hAnsi="Arial" w:cs="Arial"/>
          <w:color w:val="3C3C3E"/>
          <w:sz w:val="24"/>
          <w:szCs w:val="24"/>
          <w:shd w:val="clear" w:color="auto" w:fill="FFFFFF"/>
        </w:rPr>
        <w:t xml:space="preserve">adottata in via </w:t>
      </w:r>
      <w:r w:rsidR="00486E46" w:rsidRPr="00BD18E2">
        <w:rPr>
          <w:rFonts w:ascii="Arial" w:hAnsi="Arial" w:cs="Arial"/>
          <w:sz w:val="24"/>
          <w:szCs w:val="24"/>
        </w:rPr>
        <w:t>definitiva la Nota 97 con Determina 14 ottobre 2020 dell’Agenzia italiana del farmaco (Aifa), pubblicata in Gazzetta Ufficiale Serie Generale n. 255 del 15 ottobre 2020,  che consente la prescrizione da parte degli specialisti e dei medici di medicina generale dei nuovi anticoagulanti orali ad azione diretta (Nao/Doac: dabigatran, apixaban, edoxaban, rivaroxaban) e degli antagonisti della vitamina K (AVK: warfarin e acenocumarolo), limitatamente alle confezioni autorizzate per il trattamento della Fanv».</w:t>
      </w:r>
    </w:p>
    <w:p w:rsidR="00486E46" w:rsidRPr="00BD18E2" w:rsidRDefault="00486E46" w:rsidP="00BD18E2">
      <w:pPr>
        <w:spacing w:line="360" w:lineRule="auto"/>
        <w:jc w:val="both"/>
        <w:rPr>
          <w:rFonts w:ascii="Arial" w:hAnsi="Arial" w:cs="Arial"/>
          <w:sz w:val="24"/>
          <w:szCs w:val="24"/>
        </w:rPr>
      </w:pPr>
      <w:r w:rsidRPr="00BD18E2">
        <w:rPr>
          <w:rFonts w:ascii="Arial" w:hAnsi="Arial" w:cs="Arial"/>
          <w:sz w:val="24"/>
          <w:szCs w:val="24"/>
        </w:rPr>
        <w:t>Nell’atto dell’Aifa si specifica che la decisione tiene conto «di quanto riportato nel suddetto parere in ordine ai vincoli regolatori di natura tecnico-scientifica, fissati sulla base del profilo beneficio-rischio delle anzidette specialità medicinali e delle migliori evidenze scientifiche attualmente disponibili.</w:t>
      </w:r>
    </w:p>
    <w:p w:rsidR="00D73FE5" w:rsidRPr="00BD18E2" w:rsidRDefault="00D73FE5" w:rsidP="00BD18E2">
      <w:pPr>
        <w:spacing w:line="360" w:lineRule="auto"/>
        <w:jc w:val="both"/>
        <w:rPr>
          <w:rFonts w:ascii="Arial" w:hAnsi="Arial" w:cs="Arial"/>
          <w:sz w:val="24"/>
          <w:szCs w:val="24"/>
        </w:rPr>
      </w:pPr>
    </w:p>
    <w:p w:rsidR="00D73FE5" w:rsidRPr="00BD18E2" w:rsidRDefault="00D73FE5" w:rsidP="00BD18E2">
      <w:pPr>
        <w:spacing w:line="360" w:lineRule="auto"/>
        <w:jc w:val="both"/>
        <w:rPr>
          <w:rFonts w:ascii="Arial" w:hAnsi="Arial" w:cs="Arial"/>
          <w:sz w:val="24"/>
          <w:szCs w:val="24"/>
        </w:rPr>
      </w:pPr>
    </w:p>
    <w:p w:rsidR="00D73FE5" w:rsidRPr="00BD18E2" w:rsidRDefault="00D73FE5" w:rsidP="00BD18E2">
      <w:pPr>
        <w:spacing w:line="360" w:lineRule="auto"/>
        <w:jc w:val="both"/>
        <w:rPr>
          <w:rFonts w:ascii="Arial" w:hAnsi="Arial" w:cs="Arial"/>
          <w:sz w:val="24"/>
          <w:szCs w:val="24"/>
        </w:rPr>
      </w:pPr>
    </w:p>
    <w:p w:rsidR="00BD18E2" w:rsidRDefault="00BD18E2" w:rsidP="00BD18E2">
      <w:pPr>
        <w:spacing w:line="360" w:lineRule="auto"/>
        <w:jc w:val="both"/>
        <w:rPr>
          <w:rFonts w:ascii="Arial" w:hAnsi="Arial" w:cs="Arial"/>
          <w:sz w:val="24"/>
          <w:szCs w:val="24"/>
        </w:rPr>
      </w:pPr>
    </w:p>
    <w:p w:rsidR="00486E46" w:rsidRPr="00BD18E2" w:rsidRDefault="00BD18E2" w:rsidP="00BD18E2">
      <w:pPr>
        <w:spacing w:line="360" w:lineRule="auto"/>
        <w:jc w:val="both"/>
        <w:rPr>
          <w:rFonts w:ascii="Arial" w:hAnsi="Arial" w:cs="Arial"/>
          <w:sz w:val="24"/>
          <w:szCs w:val="24"/>
        </w:rPr>
      </w:pPr>
      <w:r>
        <w:rPr>
          <w:rFonts w:ascii="Arial" w:hAnsi="Arial" w:cs="Arial"/>
          <w:sz w:val="24"/>
          <w:szCs w:val="24"/>
        </w:rPr>
        <w:t>I</w:t>
      </w:r>
      <w:r w:rsidR="00486E46" w:rsidRPr="00BD18E2">
        <w:rPr>
          <w:rFonts w:ascii="Arial" w:hAnsi="Arial" w:cs="Arial"/>
          <w:sz w:val="24"/>
          <w:szCs w:val="24"/>
        </w:rPr>
        <w:t xml:space="preserve">n considerazione di quanto sopra esposto si rappresenta nella tabella sottostante un quadro sintetico delle indicazioni </w:t>
      </w:r>
      <w:r w:rsidR="00B1207A" w:rsidRPr="00BD18E2">
        <w:rPr>
          <w:rFonts w:ascii="Arial" w:hAnsi="Arial" w:cs="Arial"/>
          <w:sz w:val="24"/>
          <w:szCs w:val="24"/>
        </w:rPr>
        <w:t xml:space="preserve">terapeutiche </w:t>
      </w:r>
      <w:r w:rsidR="00486E46" w:rsidRPr="00BD18E2">
        <w:rPr>
          <w:rFonts w:ascii="Arial" w:hAnsi="Arial" w:cs="Arial"/>
          <w:sz w:val="24"/>
          <w:szCs w:val="24"/>
        </w:rPr>
        <w:t>contenute nella scheda tecnica dei diversi NAO.</w:t>
      </w:r>
    </w:p>
    <w:p w:rsidR="00F6445F" w:rsidRPr="00053EA2" w:rsidRDefault="00F6445F" w:rsidP="00124E11">
      <w:pPr>
        <w:jc w:val="both"/>
        <w:rPr>
          <w:rFonts w:eastAsia="Times New Roman" w:cstheme="minorHAnsi"/>
          <w:sz w:val="24"/>
          <w:szCs w:val="24"/>
          <w:lang w:eastAsia="it-IT"/>
        </w:rPr>
      </w:pPr>
    </w:p>
    <w:p w:rsidR="00F6445F" w:rsidRPr="00053EA2" w:rsidRDefault="00F6445F" w:rsidP="00124E11">
      <w:pPr>
        <w:jc w:val="both"/>
        <w:rPr>
          <w:rFonts w:eastAsia="Times New Roman" w:cstheme="minorHAnsi"/>
          <w:sz w:val="24"/>
          <w:szCs w:val="24"/>
          <w:lang w:eastAsia="it-IT"/>
        </w:rPr>
      </w:pPr>
    </w:p>
    <w:tbl>
      <w:tblPr>
        <w:tblW w:w="9160" w:type="dxa"/>
        <w:jc w:val="center"/>
        <w:tblCellMar>
          <w:left w:w="0" w:type="dxa"/>
          <w:right w:w="0" w:type="dxa"/>
        </w:tblCellMar>
        <w:tblLook w:val="04A0" w:firstRow="1" w:lastRow="0" w:firstColumn="1" w:lastColumn="0" w:noHBand="0" w:noVBand="1"/>
      </w:tblPr>
      <w:tblGrid>
        <w:gridCol w:w="3137"/>
        <w:gridCol w:w="1341"/>
        <w:gridCol w:w="1575"/>
        <w:gridCol w:w="1373"/>
        <w:gridCol w:w="1734"/>
      </w:tblGrid>
      <w:tr w:rsidR="00D3349C" w:rsidRPr="00053EA2" w:rsidTr="00F17AC5">
        <w:trPr>
          <w:trHeight w:val="675"/>
          <w:jc w:val="center"/>
        </w:trPr>
        <w:tc>
          <w:tcPr>
            <w:tcW w:w="313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rPr>
            </w:pPr>
            <w:r w:rsidRPr="00053EA2">
              <w:rPr>
                <w:rFonts w:cstheme="minorHAnsi"/>
                <w:b/>
                <w:bCs/>
                <w:noProof/>
                <w:color w:val="FFFFFF" w:themeColor="background1"/>
                <w:lang w:eastAsia="it-IT"/>
              </w:rPr>
              <mc:AlternateContent>
                <mc:Choice Requires="wps">
                  <w:drawing>
                    <wp:anchor distT="0" distB="0" distL="114300" distR="114300" simplePos="0" relativeHeight="251656704" behindDoc="0" locked="0" layoutInCell="1" allowOverlap="1">
                      <wp:simplePos x="0" y="0"/>
                      <wp:positionH relativeFrom="column">
                        <wp:posOffset>-20320</wp:posOffset>
                      </wp:positionH>
                      <wp:positionV relativeFrom="paragraph">
                        <wp:posOffset>-532765</wp:posOffset>
                      </wp:positionV>
                      <wp:extent cx="5791200" cy="485775"/>
                      <wp:effectExtent l="0" t="0" r="19050" b="28575"/>
                      <wp:wrapNone/>
                      <wp:docPr id="3" name="Casella di testo 3"/>
                      <wp:cNvGraphicFramePr/>
                      <a:graphic xmlns:a="http://schemas.openxmlformats.org/drawingml/2006/main">
                        <a:graphicData uri="http://schemas.microsoft.com/office/word/2010/wordprocessingShape">
                          <wps:wsp>
                            <wps:cNvSpPr txBox="1"/>
                            <wps:spPr>
                              <a:xfrm>
                                <a:off x="0" y="0"/>
                                <a:ext cx="57912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1B52" w:rsidRPr="00591B52" w:rsidRDefault="001F3C9C">
                                  <w:pPr>
                                    <w:rPr>
                                      <w:rFonts w:ascii="Arial" w:hAnsi="Arial" w:cs="Arial"/>
                                      <w:b/>
                                      <w:color w:val="002060"/>
                                      <w:sz w:val="48"/>
                                      <w:szCs w:val="48"/>
                                    </w:rPr>
                                  </w:pPr>
                                  <w:r w:rsidRPr="00591B52">
                                    <w:rPr>
                                      <w:rFonts w:ascii="Arial" w:hAnsi="Arial" w:cs="Arial"/>
                                      <w:b/>
                                      <w:color w:val="002060"/>
                                      <w:sz w:val="48"/>
                                      <w:szCs w:val="48"/>
                                    </w:rPr>
                                    <w:t xml:space="preserve">Principali indicazioni dei </w:t>
                                  </w:r>
                                  <w:r w:rsidR="00E1410E">
                                    <w:rPr>
                                      <w:rFonts w:ascii="Arial" w:hAnsi="Arial" w:cs="Arial"/>
                                      <w:b/>
                                      <w:color w:val="002060"/>
                                      <w:sz w:val="48"/>
                                      <w:szCs w:val="48"/>
                                    </w:rPr>
                                    <w:t>NAO</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sella di testo 3" o:spid="_x0000_s1026" type="#_x0000_t202" style="position:absolute;left:0;text-align:left;margin-left:-1.6pt;margin-top:-41.95pt;width:456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" fillcolor="white [3201]" strokeweight=".5pt">
                      <v:textbox>
                        <w:txbxContent>
                          <w:p w:rsidR="00591B52" w:rsidRPr="00591B52" w:rsidRDefault="001F3C9C">
                            <w:pPr>
                              <w:rPr>
                                <w:rFonts w:ascii="Arial" w:hAnsi="Arial" w:cs="Arial"/>
                                <w:b/>
                                <w:color w:val="002060"/>
                                <w:sz w:val="48"/>
                                <w:szCs w:val="48"/>
                              </w:rPr>
                            </w:pPr>
                            <w:r w:rsidRPr="00591B52">
                              <w:rPr>
                                <w:rFonts w:ascii="Arial" w:hAnsi="Arial" w:cs="Arial"/>
                                <w:b/>
                                <w:color w:val="002060"/>
                                <w:sz w:val="48"/>
                                <w:szCs w:val="48"/>
                              </w:rPr>
                              <w:t xml:space="preserve">Principali indicazioni dei </w:t>
                            </w:r>
                            <w:r w:rsidR="00E1410E">
                              <w:rPr>
                                <w:rFonts w:ascii="Arial" w:hAnsi="Arial" w:cs="Arial"/>
                                <w:b/>
                                <w:color w:val="002060"/>
                                <w:sz w:val="48"/>
                                <w:szCs w:val="48"/>
                              </w:rPr>
                              <w:t>NAO</w:t>
                            </w:r>
                          </w:p>
                        </w:txbxContent>
                      </v:textbox>
                    </v:shape>
                  </w:pict>
                </mc:Fallback>
              </mc:AlternateContent>
            </w:r>
            <w:r w:rsidR="00E07559" w:rsidRPr="00053EA2">
              <w:rPr>
                <w:rFonts w:cstheme="minorHAnsi"/>
                <w:b/>
                <w:bCs/>
                <w:color w:val="FFFFFF" w:themeColor="background1"/>
              </w:rPr>
              <w:t>INDICAZIONI</w:t>
            </w:r>
            <w:r w:rsidR="00E07559" w:rsidRPr="00053EA2">
              <w:rPr>
                <w:rFonts w:cstheme="minorHAnsi"/>
                <w:b/>
                <w:bCs/>
                <w:color w:val="FFFFFF" w:themeColor="background1"/>
              </w:rPr>
              <w:br/>
              <w:t>TERAPEUTICHE</w:t>
            </w:r>
          </w:p>
        </w:tc>
        <w:tc>
          <w:tcPr>
            <w:tcW w:w="134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rPr>
            </w:pPr>
            <w:r w:rsidRPr="00053EA2">
              <w:rPr>
                <w:rFonts w:cstheme="minorHAnsi"/>
                <w:b/>
                <w:bCs/>
                <w:color w:val="FFFFFF" w:themeColor="background1"/>
              </w:rPr>
              <w:t>APIXABAN</w:t>
            </w:r>
          </w:p>
        </w:tc>
        <w:tc>
          <w:tcPr>
            <w:tcW w:w="157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rPr>
            </w:pPr>
            <w:r w:rsidRPr="00053EA2">
              <w:rPr>
                <w:rFonts w:cstheme="minorHAnsi"/>
                <w:b/>
                <w:bCs/>
                <w:color w:val="FFFFFF" w:themeColor="background1"/>
              </w:rPr>
              <w:t>DABIGATRAN</w:t>
            </w:r>
          </w:p>
        </w:tc>
        <w:tc>
          <w:tcPr>
            <w:tcW w:w="137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rPr>
            </w:pPr>
            <w:r w:rsidRPr="00053EA2">
              <w:rPr>
                <w:rFonts w:cstheme="minorHAnsi"/>
                <w:b/>
                <w:bCs/>
                <w:color w:val="FFFFFF" w:themeColor="background1"/>
              </w:rPr>
              <w:t>EDOXABAN</w:t>
            </w:r>
          </w:p>
        </w:tc>
        <w:tc>
          <w:tcPr>
            <w:tcW w:w="17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rPr>
            </w:pPr>
            <w:r w:rsidRPr="00053EA2">
              <w:rPr>
                <w:rFonts w:cstheme="minorHAnsi"/>
                <w:b/>
                <w:bCs/>
                <w:color w:val="FFFFFF" w:themeColor="background1"/>
              </w:rPr>
              <w:t>RIVAROXABAN</w:t>
            </w:r>
          </w:p>
        </w:tc>
      </w:tr>
      <w:tr w:rsidR="00D3349C" w:rsidRPr="00053EA2" w:rsidTr="00F17AC5">
        <w:trPr>
          <w:trHeight w:val="900"/>
          <w:jc w:val="center"/>
        </w:trPr>
        <w:tc>
          <w:tcPr>
            <w:tcW w:w="3137" w:type="dxa"/>
            <w:tcBorders>
              <w:top w:val="single" w:sz="24" w:space="0" w:color="FFFFFF"/>
              <w:left w:val="single" w:sz="8" w:space="0" w:color="FFFFFF"/>
              <w:bottom w:val="single" w:sz="8"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sz w:val="18"/>
                <w:szCs w:val="18"/>
              </w:rPr>
            </w:pPr>
            <w:r w:rsidRPr="00053EA2">
              <w:rPr>
                <w:rFonts w:cstheme="minorHAnsi"/>
                <w:b/>
                <w:bCs/>
                <w:color w:val="FFFFFF" w:themeColor="background1"/>
                <w:sz w:val="18"/>
                <w:szCs w:val="18"/>
              </w:rPr>
              <w:t>Prevenzione dell’ictus e dell’embolia sistemica (ES) nei pazienti adulti affetti da fibrillazione atriale non valvolare (FANV) con uno o più fattori di rischio</w:t>
            </w:r>
          </w:p>
        </w:tc>
        <w:tc>
          <w:tcPr>
            <w:tcW w:w="134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57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37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7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r>
      <w:tr w:rsidR="00D3349C" w:rsidRPr="00053EA2" w:rsidTr="00F17AC5">
        <w:trPr>
          <w:trHeight w:val="900"/>
          <w:jc w:val="center"/>
        </w:trPr>
        <w:tc>
          <w:tcPr>
            <w:tcW w:w="3137" w:type="dxa"/>
            <w:tcBorders>
              <w:top w:val="single" w:sz="8" w:space="0" w:color="FFFFFF"/>
              <w:left w:val="single" w:sz="8" w:space="0" w:color="FFFFFF"/>
              <w:bottom w:val="single" w:sz="8"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sz w:val="18"/>
                <w:szCs w:val="18"/>
              </w:rPr>
            </w:pPr>
            <w:r w:rsidRPr="00053EA2">
              <w:rPr>
                <w:rFonts w:cstheme="minorHAnsi"/>
                <w:b/>
                <w:bCs/>
                <w:color w:val="FFFFFF" w:themeColor="background1"/>
                <w:sz w:val="18"/>
                <w:szCs w:val="18"/>
              </w:rPr>
              <w:t>Trattamento della trombosi venosa profonda (TVP) e dell’embolia polmonare (EP)</w:t>
            </w:r>
          </w:p>
        </w:tc>
        <w:tc>
          <w:tcPr>
            <w:tcW w:w="13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5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373"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7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r>
      <w:tr w:rsidR="00D3349C" w:rsidRPr="00053EA2" w:rsidTr="00F17AC5">
        <w:trPr>
          <w:trHeight w:val="900"/>
          <w:jc w:val="center"/>
        </w:trPr>
        <w:tc>
          <w:tcPr>
            <w:tcW w:w="3137" w:type="dxa"/>
            <w:tcBorders>
              <w:top w:val="single" w:sz="8" w:space="0" w:color="FFFFFF"/>
              <w:left w:val="single" w:sz="8" w:space="0" w:color="FFFFFF"/>
              <w:bottom w:val="single" w:sz="8"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sz w:val="18"/>
                <w:szCs w:val="18"/>
              </w:rPr>
            </w:pPr>
            <w:r w:rsidRPr="00053EA2">
              <w:rPr>
                <w:rFonts w:cstheme="minorHAnsi"/>
                <w:b/>
                <w:bCs/>
                <w:color w:val="FFFFFF" w:themeColor="background1"/>
                <w:sz w:val="18"/>
                <w:szCs w:val="18"/>
              </w:rPr>
              <w:t>Prevenzione delle recidive di TVP ed EP nell’adulto</w:t>
            </w:r>
          </w:p>
        </w:tc>
        <w:tc>
          <w:tcPr>
            <w:tcW w:w="1341"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5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373"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7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r>
      <w:tr w:rsidR="00D3349C" w:rsidRPr="00053EA2" w:rsidTr="00F17AC5">
        <w:trPr>
          <w:trHeight w:val="900"/>
          <w:jc w:val="center"/>
        </w:trPr>
        <w:tc>
          <w:tcPr>
            <w:tcW w:w="3137" w:type="dxa"/>
            <w:tcBorders>
              <w:top w:val="single" w:sz="8" w:space="0" w:color="FFFFFF"/>
              <w:left w:val="single" w:sz="8" w:space="0" w:color="FFFFFF"/>
              <w:bottom w:val="single" w:sz="8"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sz w:val="18"/>
                <w:szCs w:val="18"/>
              </w:rPr>
            </w:pPr>
            <w:r w:rsidRPr="00053EA2">
              <w:rPr>
                <w:rFonts w:cstheme="minorHAnsi"/>
                <w:b/>
                <w:bCs/>
                <w:color w:val="FFFFFF" w:themeColor="background1"/>
                <w:sz w:val="18"/>
                <w:szCs w:val="18"/>
              </w:rPr>
              <w:t>Prevenzione primaria di episodi trombo-embolici in pazienti adulti sottoposti a chirurgia sostitutiva elettiva totale dell’anca e del ginocchio.</w:t>
            </w:r>
          </w:p>
        </w:tc>
        <w:tc>
          <w:tcPr>
            <w:tcW w:w="13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5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373"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7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r>
      <w:tr w:rsidR="00D3349C" w:rsidRPr="00053EA2" w:rsidTr="00F17AC5">
        <w:trPr>
          <w:trHeight w:val="900"/>
          <w:jc w:val="center"/>
        </w:trPr>
        <w:tc>
          <w:tcPr>
            <w:tcW w:w="3137" w:type="dxa"/>
            <w:tcBorders>
              <w:top w:val="single" w:sz="8" w:space="0" w:color="FFFFFF"/>
              <w:left w:val="single" w:sz="8" w:space="0" w:color="FFFFFF"/>
              <w:bottom w:val="single" w:sz="8"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sz w:val="18"/>
                <w:szCs w:val="18"/>
              </w:rPr>
            </w:pPr>
            <w:r w:rsidRPr="00053EA2">
              <w:rPr>
                <w:rFonts w:cstheme="minorHAnsi"/>
                <w:b/>
                <w:bCs/>
                <w:color w:val="FFFFFF" w:themeColor="background1"/>
                <w:sz w:val="18"/>
                <w:szCs w:val="18"/>
              </w:rPr>
              <w:t>Prevenzione di eventi aterotrombotici in pazienti dopo SCA, con biomarcatori cardiaci elevati</w:t>
            </w:r>
          </w:p>
        </w:tc>
        <w:tc>
          <w:tcPr>
            <w:tcW w:w="1341"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5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373"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7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r>
      <w:tr w:rsidR="00D3349C" w:rsidRPr="00053EA2" w:rsidTr="00F17AC5">
        <w:trPr>
          <w:trHeight w:val="900"/>
          <w:jc w:val="center"/>
        </w:trPr>
        <w:tc>
          <w:tcPr>
            <w:tcW w:w="3137" w:type="dxa"/>
            <w:tcBorders>
              <w:top w:val="single" w:sz="8" w:space="0" w:color="FFFFFF"/>
              <w:left w:val="single" w:sz="8" w:space="0" w:color="FFFFFF"/>
              <w:bottom w:val="single" w:sz="8"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E07559">
            <w:pPr>
              <w:jc w:val="center"/>
              <w:rPr>
                <w:rFonts w:cstheme="minorHAnsi"/>
                <w:color w:val="FFFFFF" w:themeColor="background1"/>
                <w:sz w:val="18"/>
                <w:szCs w:val="18"/>
              </w:rPr>
            </w:pPr>
            <w:r w:rsidRPr="00053EA2">
              <w:rPr>
                <w:rFonts w:cstheme="minorHAnsi"/>
                <w:b/>
                <w:bCs/>
                <w:color w:val="FFFFFF" w:themeColor="background1"/>
                <w:sz w:val="18"/>
                <w:szCs w:val="18"/>
              </w:rPr>
              <w:t>Inizio terapia per Cardioversione: da RCP</w:t>
            </w:r>
          </w:p>
        </w:tc>
        <w:tc>
          <w:tcPr>
            <w:tcW w:w="13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5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373"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7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r>
      <w:tr w:rsidR="00D3349C" w:rsidRPr="00053EA2" w:rsidTr="00F17AC5">
        <w:trPr>
          <w:trHeight w:val="900"/>
          <w:jc w:val="center"/>
        </w:trPr>
        <w:tc>
          <w:tcPr>
            <w:tcW w:w="3137" w:type="dxa"/>
            <w:tcBorders>
              <w:top w:val="single" w:sz="8" w:space="0" w:color="FFFFFF"/>
              <w:left w:val="single" w:sz="8" w:space="0" w:color="FFFFFF"/>
              <w:bottom w:val="single" w:sz="8"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sz w:val="18"/>
                <w:szCs w:val="18"/>
              </w:rPr>
            </w:pPr>
            <w:r w:rsidRPr="00053EA2">
              <w:rPr>
                <w:rFonts w:cstheme="minorHAnsi"/>
                <w:b/>
                <w:bCs/>
                <w:color w:val="FFFFFF" w:themeColor="background1"/>
                <w:sz w:val="18"/>
                <w:szCs w:val="18"/>
              </w:rPr>
              <w:t>Cardioversione: rimborsabilità da piano terapeutico AIFA</w:t>
            </w:r>
          </w:p>
        </w:tc>
        <w:tc>
          <w:tcPr>
            <w:tcW w:w="1341"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5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373"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7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r>
      <w:tr w:rsidR="00D3349C" w:rsidRPr="00053EA2" w:rsidTr="00F17AC5">
        <w:trPr>
          <w:trHeight w:val="900"/>
          <w:jc w:val="center"/>
        </w:trPr>
        <w:tc>
          <w:tcPr>
            <w:tcW w:w="3137" w:type="dxa"/>
            <w:tcBorders>
              <w:top w:val="single" w:sz="8" w:space="0" w:color="FFFFFF"/>
              <w:left w:val="single" w:sz="8" w:space="0" w:color="FFFFFF"/>
              <w:bottom w:val="single" w:sz="8" w:space="0" w:color="FFFFFF"/>
              <w:right w:val="single" w:sz="8" w:space="0" w:color="FFFFFF"/>
            </w:tcBorders>
            <w:shd w:val="clear" w:color="auto" w:fill="4F81BD"/>
            <w:tcMar>
              <w:top w:w="15" w:type="dxa"/>
              <w:left w:w="48" w:type="dxa"/>
              <w:bottom w:w="0" w:type="dxa"/>
              <w:right w:w="48" w:type="dxa"/>
            </w:tcMar>
            <w:vAlign w:val="center"/>
            <w:hideMark/>
          </w:tcPr>
          <w:p w:rsidR="00E07559" w:rsidRPr="00053EA2" w:rsidRDefault="001F3C9C" w:rsidP="00591B52">
            <w:pPr>
              <w:jc w:val="center"/>
              <w:rPr>
                <w:rFonts w:cstheme="minorHAnsi"/>
                <w:color w:val="FFFFFF" w:themeColor="background1"/>
                <w:sz w:val="18"/>
                <w:szCs w:val="18"/>
              </w:rPr>
            </w:pPr>
            <w:r w:rsidRPr="00053EA2">
              <w:rPr>
                <w:rFonts w:cstheme="minorHAnsi"/>
                <w:b/>
                <w:bCs/>
                <w:color w:val="FFFFFF" w:themeColor="background1"/>
                <w:sz w:val="18"/>
                <w:szCs w:val="18"/>
              </w:rPr>
              <w:t>Prevenzione di eventi aterotrombotici in pazienti adulti, ad alto rischio di eventi ischemici, che presentano coronaropatia o arteriopatia periferica sintomatica</w:t>
            </w:r>
          </w:p>
        </w:tc>
        <w:tc>
          <w:tcPr>
            <w:tcW w:w="13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5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373"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c>
          <w:tcPr>
            <w:tcW w:w="17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48" w:type="dxa"/>
              <w:bottom w:w="0" w:type="dxa"/>
              <w:right w:w="48" w:type="dxa"/>
            </w:tcMar>
            <w:vAlign w:val="center"/>
            <w:hideMark/>
          </w:tcPr>
          <w:p w:rsidR="00E07559" w:rsidRPr="00053EA2" w:rsidRDefault="001F3C9C" w:rsidP="00591B52">
            <w:pPr>
              <w:jc w:val="center"/>
              <w:rPr>
                <w:rFonts w:cstheme="minorHAnsi"/>
                <w:color w:val="1F497D" w:themeColor="text2"/>
                <w:sz w:val="40"/>
                <w:szCs w:val="40"/>
              </w:rPr>
            </w:pPr>
            <w:r w:rsidRPr="00053EA2">
              <w:rPr>
                <w:rFonts w:cstheme="minorHAnsi"/>
                <w:color w:val="1F497D" w:themeColor="text2"/>
                <w:sz w:val="40"/>
                <w:szCs w:val="40"/>
              </w:rPr>
              <w:t>√</w:t>
            </w:r>
          </w:p>
        </w:tc>
      </w:tr>
    </w:tbl>
    <w:p w:rsidR="00F17AC5" w:rsidRPr="00053EA2" w:rsidRDefault="00F17AC5" w:rsidP="00771495">
      <w:pPr>
        <w:jc w:val="both"/>
        <w:rPr>
          <w:rFonts w:cstheme="minorHAnsi"/>
        </w:rPr>
      </w:pPr>
    </w:p>
    <w:p w:rsidR="00F17AC5" w:rsidRPr="00053EA2" w:rsidRDefault="00F17AC5" w:rsidP="00771495">
      <w:pPr>
        <w:jc w:val="both"/>
        <w:rPr>
          <w:rFonts w:cstheme="minorHAnsi"/>
        </w:rPr>
      </w:pPr>
    </w:p>
    <w:p w:rsidR="00F17AC5" w:rsidRPr="00053EA2" w:rsidRDefault="00F17AC5" w:rsidP="00771495">
      <w:pPr>
        <w:jc w:val="both"/>
        <w:rPr>
          <w:rFonts w:cstheme="minorHAnsi"/>
        </w:rPr>
      </w:pPr>
    </w:p>
    <w:p w:rsidR="00F17AC5" w:rsidRPr="00053EA2" w:rsidRDefault="00F17AC5" w:rsidP="00771495">
      <w:pPr>
        <w:jc w:val="both"/>
        <w:rPr>
          <w:rFonts w:cstheme="minorHAnsi"/>
        </w:rPr>
      </w:pPr>
    </w:p>
    <w:p w:rsidR="00F17AC5" w:rsidRPr="00053EA2" w:rsidRDefault="00F17AC5" w:rsidP="00771495">
      <w:pPr>
        <w:jc w:val="both"/>
        <w:rPr>
          <w:rFonts w:cstheme="minorHAnsi"/>
        </w:rPr>
      </w:pPr>
    </w:p>
    <w:p w:rsidR="00F17AC5" w:rsidRPr="00053EA2" w:rsidRDefault="00F17AC5" w:rsidP="00771495">
      <w:pPr>
        <w:jc w:val="both"/>
        <w:rPr>
          <w:rFonts w:cstheme="minorHAnsi"/>
        </w:rPr>
      </w:pPr>
    </w:p>
    <w:p w:rsidR="00F17AC5" w:rsidRPr="00053EA2" w:rsidRDefault="00F17AC5" w:rsidP="00771495">
      <w:pPr>
        <w:jc w:val="both"/>
        <w:rPr>
          <w:rFonts w:cstheme="minorHAnsi"/>
        </w:rPr>
      </w:pPr>
    </w:p>
    <w:p w:rsidR="00D73FE5" w:rsidRPr="00BD18E2" w:rsidRDefault="00F17AC5" w:rsidP="00BD18E2">
      <w:pPr>
        <w:spacing w:line="360" w:lineRule="auto"/>
        <w:jc w:val="both"/>
        <w:rPr>
          <w:rFonts w:ascii="Arial" w:hAnsi="Arial" w:cs="Arial"/>
          <w:sz w:val="24"/>
          <w:szCs w:val="24"/>
        </w:rPr>
      </w:pPr>
      <w:r w:rsidRPr="00BD18E2">
        <w:rPr>
          <w:rFonts w:ascii="Arial" w:hAnsi="Arial" w:cs="Arial"/>
          <w:sz w:val="24"/>
          <w:szCs w:val="24"/>
        </w:rPr>
        <w:t xml:space="preserve">Nella tabella sottostante sono riportate in dettaglio le dosi e le modalità di somministrazione e comprendono sia il dosaggio standard sia le riduzioni della dose previste in rapporto: all’età, al peso, ai farmaci associati, alla funzione renale. </w:t>
      </w:r>
    </w:p>
    <w:p w:rsidR="00F17AC5" w:rsidRDefault="004D6262" w:rsidP="00771495">
      <w:pPr>
        <w:jc w:val="both"/>
        <w:rPr>
          <w:rFonts w:cstheme="minorHAnsi"/>
        </w:rPr>
      </w:pPr>
      <w:r>
        <w:rPr>
          <w:rFonts w:cstheme="minorHAnsi"/>
          <w:noProof/>
          <w:lang w:eastAsia="it-IT"/>
        </w:rPr>
        <w:drawing>
          <wp:inline distT="0" distB="0" distL="0" distR="0">
            <wp:extent cx="6645910" cy="6323965"/>
            <wp:effectExtent l="0" t="0" r="254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3.png"/>
                    <pic:cNvPicPr/>
                  </pic:nvPicPr>
                  <pic:blipFill>
                    <a:blip r:embed="rId10">
                      <a:extLst>
                        <a:ext uri="{28A0092B-C50C-407E-A947-70E740481C1C}">
                          <a14:useLocalDpi xmlns:a14="http://schemas.microsoft.com/office/drawing/2010/main" val="0"/>
                        </a:ext>
                      </a:extLst>
                    </a:blip>
                    <a:stretch>
                      <a:fillRect/>
                    </a:stretch>
                  </pic:blipFill>
                  <pic:spPr>
                    <a:xfrm>
                      <a:off x="0" y="0"/>
                      <a:ext cx="6645910" cy="6323965"/>
                    </a:xfrm>
                    <a:prstGeom prst="rect">
                      <a:avLst/>
                    </a:prstGeom>
                  </pic:spPr>
                </pic:pic>
              </a:graphicData>
            </a:graphic>
          </wp:inline>
        </w:drawing>
      </w:r>
    </w:p>
    <w:p w:rsidR="004D6262" w:rsidRPr="00053EA2" w:rsidRDefault="004D6262" w:rsidP="00771495">
      <w:pPr>
        <w:jc w:val="both"/>
        <w:rPr>
          <w:rFonts w:cstheme="minorHAnsi"/>
        </w:rPr>
      </w:pPr>
    </w:p>
    <w:p w:rsidR="00F17AC5" w:rsidRDefault="00F17AC5" w:rsidP="00771495">
      <w:pPr>
        <w:jc w:val="both"/>
        <w:rPr>
          <w:rFonts w:cstheme="minorHAnsi"/>
        </w:rPr>
      </w:pPr>
    </w:p>
    <w:p w:rsidR="00BD18E2" w:rsidRDefault="00BD18E2" w:rsidP="00771495">
      <w:pPr>
        <w:jc w:val="both"/>
        <w:rPr>
          <w:rFonts w:cstheme="minorHAnsi"/>
        </w:rPr>
      </w:pPr>
      <w:bookmarkStart w:id="0" w:name="_GoBack"/>
      <w:bookmarkEnd w:id="0"/>
    </w:p>
    <w:p w:rsidR="00BD18E2" w:rsidRDefault="00BD18E2" w:rsidP="00771495">
      <w:pPr>
        <w:jc w:val="both"/>
        <w:rPr>
          <w:rFonts w:cstheme="minorHAnsi"/>
        </w:rPr>
      </w:pPr>
    </w:p>
    <w:p w:rsidR="00BD18E2" w:rsidRDefault="00BD18E2" w:rsidP="00771495">
      <w:pPr>
        <w:jc w:val="both"/>
        <w:rPr>
          <w:rFonts w:cstheme="minorHAnsi"/>
        </w:rPr>
      </w:pPr>
    </w:p>
    <w:p w:rsidR="00BD18E2" w:rsidRDefault="00BD18E2" w:rsidP="00771495">
      <w:pPr>
        <w:jc w:val="both"/>
        <w:rPr>
          <w:rFonts w:cstheme="minorHAnsi"/>
        </w:rPr>
      </w:pPr>
    </w:p>
    <w:p w:rsidR="00BD18E2" w:rsidRDefault="00BD18E2" w:rsidP="00771495">
      <w:pPr>
        <w:jc w:val="both"/>
        <w:rPr>
          <w:rFonts w:cstheme="minorHAnsi"/>
        </w:rPr>
      </w:pPr>
    </w:p>
    <w:p w:rsidR="002D300F" w:rsidRDefault="002D300F" w:rsidP="00771495">
      <w:pPr>
        <w:jc w:val="both"/>
        <w:rPr>
          <w:rFonts w:cstheme="minorHAnsi"/>
        </w:rPr>
      </w:pPr>
    </w:p>
    <w:p w:rsidR="002D300F" w:rsidRPr="00053EA2" w:rsidRDefault="002D300F" w:rsidP="00771495">
      <w:pPr>
        <w:jc w:val="both"/>
        <w:rPr>
          <w:rFonts w:cstheme="minorHAnsi"/>
        </w:rPr>
      </w:pPr>
    </w:p>
    <w:p w:rsidR="00F17AC5" w:rsidRPr="00BD18E2" w:rsidRDefault="00F17AC5" w:rsidP="00BD18E2">
      <w:pPr>
        <w:spacing w:line="360" w:lineRule="auto"/>
        <w:jc w:val="both"/>
        <w:rPr>
          <w:rFonts w:ascii="Arial" w:hAnsi="Arial" w:cs="Arial"/>
          <w:sz w:val="24"/>
          <w:szCs w:val="24"/>
        </w:rPr>
      </w:pPr>
      <w:r w:rsidRPr="00BD18E2">
        <w:rPr>
          <w:rFonts w:ascii="Arial" w:hAnsi="Arial" w:cs="Arial"/>
          <w:sz w:val="24"/>
          <w:szCs w:val="24"/>
        </w:rPr>
        <w:t xml:space="preserve">Si rappresenta </w:t>
      </w:r>
      <w:r w:rsidR="00D73FE5" w:rsidRPr="00BD18E2">
        <w:rPr>
          <w:rFonts w:ascii="Arial" w:hAnsi="Arial" w:cs="Arial"/>
          <w:sz w:val="24"/>
          <w:szCs w:val="24"/>
        </w:rPr>
        <w:t xml:space="preserve">inoltre </w:t>
      </w:r>
      <w:r w:rsidRPr="00BD18E2">
        <w:rPr>
          <w:rFonts w:ascii="Arial" w:hAnsi="Arial" w:cs="Arial"/>
          <w:sz w:val="24"/>
          <w:szCs w:val="24"/>
        </w:rPr>
        <w:t>che al pari degli anti AVK si tratta di farmaci a basso indice terapeutico che richiedono la somministrazione di dosi giornaliere costanti e non necessitano di controlli periodici dell’attività anticoagulante. È importante ricordare che INR e PTT non vanno utilizzati per la gestione della terapia e delle complicanze emorragiche dei NAO/DOAC. È comunque importante che i farmaci vengano assunti regolarmente allo stesso orario eventualmente utilizzando un sistema di controllo dell’assunzione. L’effetto clinico è presente da poche ore dopo l’assunzione e scompare mediamente in 24 ore anche in rapporto alla funzione renale.</w:t>
      </w:r>
    </w:p>
    <w:p w:rsidR="00F17AC5" w:rsidRPr="00BD18E2" w:rsidRDefault="00B1207A" w:rsidP="00BD18E2">
      <w:pPr>
        <w:spacing w:line="360" w:lineRule="auto"/>
        <w:jc w:val="both"/>
        <w:rPr>
          <w:rFonts w:ascii="Arial" w:hAnsi="Arial" w:cs="Arial"/>
          <w:sz w:val="24"/>
          <w:szCs w:val="24"/>
        </w:rPr>
      </w:pPr>
      <w:r w:rsidRPr="00BD18E2">
        <w:rPr>
          <w:rFonts w:ascii="Arial" w:hAnsi="Arial" w:cs="Arial"/>
          <w:sz w:val="24"/>
          <w:szCs w:val="24"/>
        </w:rPr>
        <w:t xml:space="preserve">I NAO/DOAC </w:t>
      </w:r>
      <w:r w:rsidR="00053EA2" w:rsidRPr="00BD18E2">
        <w:rPr>
          <w:rFonts w:ascii="Arial" w:hAnsi="Arial" w:cs="Arial"/>
          <w:sz w:val="24"/>
          <w:szCs w:val="24"/>
        </w:rPr>
        <w:t xml:space="preserve">così come gli </w:t>
      </w:r>
      <w:r w:rsidRPr="00BD18E2">
        <w:rPr>
          <w:rFonts w:ascii="Arial" w:hAnsi="Arial" w:cs="Arial"/>
          <w:sz w:val="24"/>
          <w:szCs w:val="24"/>
        </w:rPr>
        <w:t xml:space="preserve"> anti AVK possono interagire con alcuni farmaci e anche con alcuni preparati erboristici, pertanto all’atto della prescrizione ed in corso della terapia, occorre valutare con molta attenzione farmaci ed eventuali integratori che il paziente assume in concomitanza, informandolo rispetto all’importanza di non assumere in autonomia farmaci, integratori alimentari/preparati erboristici. Per la individuazione delle possibili interazioni farmacologiche di significato clinico ed il loro continuo aggiornamento si può fare riferimento al seguente link: https://www.intercheckweb.it </w:t>
      </w:r>
      <w:hyperlink r:id="rId11" w:history="1">
        <w:r w:rsidR="00053EA2" w:rsidRPr="00BD18E2">
          <w:rPr>
            <w:rStyle w:val="Collegamentoipertestuale"/>
            <w:rFonts w:ascii="Arial" w:hAnsi="Arial" w:cs="Arial"/>
            <w:sz w:val="24"/>
            <w:szCs w:val="24"/>
          </w:rPr>
          <w:t>https://www.drugs.com/drug_interactions.html</w:t>
        </w:r>
      </w:hyperlink>
    </w:p>
    <w:p w:rsidR="00053EA2" w:rsidRPr="00BD18E2" w:rsidRDefault="00053EA2" w:rsidP="00BD18E2">
      <w:pPr>
        <w:spacing w:line="360" w:lineRule="auto"/>
        <w:jc w:val="both"/>
        <w:rPr>
          <w:rFonts w:ascii="Arial" w:hAnsi="Arial" w:cs="Arial"/>
          <w:sz w:val="24"/>
          <w:szCs w:val="24"/>
        </w:rPr>
      </w:pPr>
    </w:p>
    <w:p w:rsidR="00053EA2" w:rsidRPr="002D300F" w:rsidRDefault="00C76C4A" w:rsidP="00BD18E2">
      <w:pPr>
        <w:spacing w:line="360" w:lineRule="auto"/>
        <w:jc w:val="both"/>
        <w:rPr>
          <w:rFonts w:ascii="Arial" w:hAnsi="Arial" w:cs="Arial"/>
          <w:b/>
          <w:sz w:val="24"/>
          <w:szCs w:val="24"/>
          <w:u w:val="single"/>
        </w:rPr>
      </w:pPr>
      <w:r w:rsidRPr="002D300F">
        <w:rPr>
          <w:rFonts w:ascii="Arial" w:hAnsi="Arial" w:cs="Arial"/>
          <w:b/>
          <w:sz w:val="24"/>
          <w:szCs w:val="24"/>
          <w:u w:val="single"/>
        </w:rPr>
        <w:t xml:space="preserve">Prescrivibilità </w:t>
      </w:r>
      <w:r w:rsidR="00053EA2" w:rsidRPr="002D300F">
        <w:rPr>
          <w:rFonts w:ascii="Arial" w:hAnsi="Arial" w:cs="Arial"/>
          <w:b/>
          <w:sz w:val="24"/>
          <w:szCs w:val="24"/>
          <w:u w:val="single"/>
        </w:rPr>
        <w:t xml:space="preserve"> SSN</w:t>
      </w:r>
    </w:p>
    <w:p w:rsidR="00053EA2" w:rsidRPr="00BD18E2" w:rsidRDefault="00053EA2" w:rsidP="00BD18E2">
      <w:pPr>
        <w:spacing w:line="360" w:lineRule="auto"/>
        <w:jc w:val="both"/>
        <w:rPr>
          <w:rFonts w:ascii="Arial" w:hAnsi="Arial" w:cs="Arial"/>
          <w:sz w:val="24"/>
          <w:szCs w:val="24"/>
        </w:rPr>
      </w:pPr>
      <w:r w:rsidRPr="00BD18E2">
        <w:rPr>
          <w:rFonts w:ascii="Arial" w:hAnsi="Arial" w:cs="Arial"/>
          <w:sz w:val="24"/>
          <w:szCs w:val="24"/>
        </w:rPr>
        <w:t>Nella regione Lazio i NAO sono dispensati attraverso le farmacie di comunità in DPC previa compil</w:t>
      </w:r>
      <w:r w:rsidR="00C76C4A" w:rsidRPr="00BD18E2">
        <w:rPr>
          <w:rFonts w:ascii="Arial" w:hAnsi="Arial" w:cs="Arial"/>
          <w:sz w:val="24"/>
          <w:szCs w:val="24"/>
        </w:rPr>
        <w:t>azione da parte del prescrittore</w:t>
      </w:r>
      <w:r w:rsidR="00D73FE5" w:rsidRPr="00BD18E2">
        <w:rPr>
          <w:rFonts w:ascii="Arial" w:hAnsi="Arial" w:cs="Arial"/>
          <w:sz w:val="24"/>
          <w:szCs w:val="24"/>
        </w:rPr>
        <w:t xml:space="preserve"> </w:t>
      </w:r>
      <w:r w:rsidRPr="00BD18E2">
        <w:rPr>
          <w:rFonts w:ascii="Arial" w:hAnsi="Arial" w:cs="Arial"/>
          <w:sz w:val="24"/>
          <w:szCs w:val="24"/>
        </w:rPr>
        <w:t>specialista o nel caso della prevenzione della fibrillazione atriale non ventricolare anche da p</w:t>
      </w:r>
      <w:r w:rsidR="00C76C4A" w:rsidRPr="00BD18E2">
        <w:rPr>
          <w:rFonts w:ascii="Arial" w:hAnsi="Arial" w:cs="Arial"/>
          <w:sz w:val="24"/>
          <w:szCs w:val="24"/>
        </w:rPr>
        <w:t>arte del medico di medicina generale di una scheda terapeutica sul portale regionale web-care.</w:t>
      </w:r>
    </w:p>
    <w:p w:rsidR="00C76C4A" w:rsidRPr="00BD18E2" w:rsidRDefault="00C76C4A" w:rsidP="00BD18E2">
      <w:pPr>
        <w:spacing w:line="360" w:lineRule="auto"/>
        <w:jc w:val="both"/>
        <w:rPr>
          <w:rFonts w:ascii="Arial" w:hAnsi="Arial" w:cs="Arial"/>
          <w:sz w:val="24"/>
          <w:szCs w:val="24"/>
        </w:rPr>
      </w:pPr>
      <w:r w:rsidRPr="00BD18E2">
        <w:rPr>
          <w:rFonts w:ascii="Arial" w:hAnsi="Arial" w:cs="Arial"/>
          <w:sz w:val="24"/>
          <w:szCs w:val="24"/>
        </w:rPr>
        <w:t>Tale modalità, che si affianca a quanto previsto da AIFA, consente di monitorare anche la regolarità nell’erogazione mensile della terapia, parametro che in modo approssimativo misura l’aderenza,</w:t>
      </w:r>
      <w:r w:rsidR="00D73FE5" w:rsidRPr="00BD18E2">
        <w:rPr>
          <w:rFonts w:ascii="Arial" w:hAnsi="Arial" w:cs="Arial"/>
          <w:sz w:val="24"/>
          <w:szCs w:val="24"/>
        </w:rPr>
        <w:t xml:space="preserve"> </w:t>
      </w:r>
      <w:r w:rsidRPr="00BD18E2">
        <w:rPr>
          <w:rFonts w:ascii="Arial" w:hAnsi="Arial" w:cs="Arial"/>
          <w:sz w:val="24"/>
          <w:szCs w:val="24"/>
        </w:rPr>
        <w:t>condizione essenziale per l’efficacia di una terapia cronica quale quella per cui tali farmaci sono registrati.</w:t>
      </w:r>
    </w:p>
    <w:p w:rsidR="00C76C4A" w:rsidRPr="00053EA2" w:rsidRDefault="00C76C4A" w:rsidP="00771495">
      <w:pPr>
        <w:jc w:val="both"/>
        <w:rPr>
          <w:rFonts w:cstheme="minorHAnsi"/>
        </w:rPr>
      </w:pPr>
    </w:p>
    <w:sectPr w:rsidR="00C76C4A" w:rsidRPr="00053EA2" w:rsidSect="002D300F">
      <w:foot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723" w:rsidRDefault="00F85723" w:rsidP="002D300F">
      <w:pPr>
        <w:spacing w:after="0" w:line="240" w:lineRule="auto"/>
      </w:pPr>
      <w:r>
        <w:separator/>
      </w:r>
    </w:p>
  </w:endnote>
  <w:endnote w:type="continuationSeparator" w:id="0">
    <w:p w:rsidR="00F85723" w:rsidRDefault="00F85723" w:rsidP="002D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206033"/>
      <w:docPartObj>
        <w:docPartGallery w:val="Page Numbers (Bottom of Page)"/>
        <w:docPartUnique/>
      </w:docPartObj>
    </w:sdtPr>
    <w:sdtEndPr/>
    <w:sdtContent>
      <w:p w:rsidR="002D300F" w:rsidRDefault="002D300F">
        <w:pPr>
          <w:pStyle w:val="Pidipagina"/>
          <w:jc w:val="right"/>
        </w:pPr>
        <w:r>
          <w:fldChar w:fldCharType="begin"/>
        </w:r>
        <w:r>
          <w:instrText>PAGE   \* MERGEFORMAT</w:instrText>
        </w:r>
        <w:r>
          <w:fldChar w:fldCharType="separate"/>
        </w:r>
        <w:r w:rsidR="002F08D7">
          <w:rPr>
            <w:noProof/>
          </w:rPr>
          <w:t>4</w:t>
        </w:r>
        <w:r>
          <w:fldChar w:fldCharType="end"/>
        </w:r>
      </w:p>
    </w:sdtContent>
  </w:sdt>
  <w:p w:rsidR="002D300F" w:rsidRDefault="002D300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723" w:rsidRDefault="00F85723" w:rsidP="002D300F">
      <w:pPr>
        <w:spacing w:after="0" w:line="240" w:lineRule="auto"/>
      </w:pPr>
      <w:r>
        <w:separator/>
      </w:r>
    </w:p>
  </w:footnote>
  <w:footnote w:type="continuationSeparator" w:id="0">
    <w:p w:rsidR="00F85723" w:rsidRDefault="00F85723" w:rsidP="002D30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FB2"/>
    <w:rsid w:val="00053EA2"/>
    <w:rsid w:val="000744B8"/>
    <w:rsid w:val="000D04E0"/>
    <w:rsid w:val="00107E36"/>
    <w:rsid w:val="00124E11"/>
    <w:rsid w:val="001A45B5"/>
    <w:rsid w:val="001F3C9C"/>
    <w:rsid w:val="002D300F"/>
    <w:rsid w:val="002F08D7"/>
    <w:rsid w:val="0031127B"/>
    <w:rsid w:val="00424E96"/>
    <w:rsid w:val="00441D4F"/>
    <w:rsid w:val="00486E46"/>
    <w:rsid w:val="004D6262"/>
    <w:rsid w:val="00512B0A"/>
    <w:rsid w:val="0051575A"/>
    <w:rsid w:val="0056466B"/>
    <w:rsid w:val="00591B52"/>
    <w:rsid w:val="005A7FB2"/>
    <w:rsid w:val="00632F05"/>
    <w:rsid w:val="00771495"/>
    <w:rsid w:val="00907C9E"/>
    <w:rsid w:val="00A45B3C"/>
    <w:rsid w:val="00B1207A"/>
    <w:rsid w:val="00B93048"/>
    <w:rsid w:val="00BD18E2"/>
    <w:rsid w:val="00C1793E"/>
    <w:rsid w:val="00C76C4A"/>
    <w:rsid w:val="00D3349C"/>
    <w:rsid w:val="00D4032C"/>
    <w:rsid w:val="00D46BA1"/>
    <w:rsid w:val="00D47AFE"/>
    <w:rsid w:val="00D73FE5"/>
    <w:rsid w:val="00DB0CA3"/>
    <w:rsid w:val="00E07559"/>
    <w:rsid w:val="00E1410E"/>
    <w:rsid w:val="00E238BB"/>
    <w:rsid w:val="00F17AC5"/>
    <w:rsid w:val="00F3139D"/>
    <w:rsid w:val="00F6445F"/>
    <w:rsid w:val="00F857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47A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7AFE"/>
    <w:rPr>
      <w:rFonts w:ascii="Tahoma" w:hAnsi="Tahoma" w:cs="Tahoma"/>
      <w:sz w:val="16"/>
      <w:szCs w:val="16"/>
    </w:rPr>
  </w:style>
  <w:style w:type="paragraph" w:styleId="NormaleWeb">
    <w:name w:val="Normal (Web)"/>
    <w:basedOn w:val="Normale"/>
    <w:uiPriority w:val="99"/>
    <w:semiHidden/>
    <w:unhideWhenUsed/>
    <w:rsid w:val="00124E1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53EA2"/>
    <w:rPr>
      <w:color w:val="0000FF" w:themeColor="hyperlink"/>
      <w:u w:val="single"/>
    </w:rPr>
  </w:style>
  <w:style w:type="paragraph" w:styleId="Intestazione">
    <w:name w:val="header"/>
    <w:basedOn w:val="Normale"/>
    <w:link w:val="IntestazioneCarattere"/>
    <w:uiPriority w:val="99"/>
    <w:unhideWhenUsed/>
    <w:rsid w:val="002D30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300F"/>
  </w:style>
  <w:style w:type="paragraph" w:styleId="Pidipagina">
    <w:name w:val="footer"/>
    <w:basedOn w:val="Normale"/>
    <w:link w:val="PidipaginaCarattere"/>
    <w:uiPriority w:val="99"/>
    <w:unhideWhenUsed/>
    <w:rsid w:val="002D30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3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47A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7AFE"/>
    <w:rPr>
      <w:rFonts w:ascii="Tahoma" w:hAnsi="Tahoma" w:cs="Tahoma"/>
      <w:sz w:val="16"/>
      <w:szCs w:val="16"/>
    </w:rPr>
  </w:style>
  <w:style w:type="paragraph" w:styleId="NormaleWeb">
    <w:name w:val="Normal (Web)"/>
    <w:basedOn w:val="Normale"/>
    <w:uiPriority w:val="99"/>
    <w:semiHidden/>
    <w:unhideWhenUsed/>
    <w:rsid w:val="00124E1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53EA2"/>
    <w:rPr>
      <w:color w:val="0000FF" w:themeColor="hyperlink"/>
      <w:u w:val="single"/>
    </w:rPr>
  </w:style>
  <w:style w:type="paragraph" w:styleId="Intestazione">
    <w:name w:val="header"/>
    <w:basedOn w:val="Normale"/>
    <w:link w:val="IntestazioneCarattere"/>
    <w:uiPriority w:val="99"/>
    <w:unhideWhenUsed/>
    <w:rsid w:val="002D30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300F"/>
  </w:style>
  <w:style w:type="paragraph" w:styleId="Pidipagina">
    <w:name w:val="footer"/>
    <w:basedOn w:val="Normale"/>
    <w:link w:val="PidipaginaCarattere"/>
    <w:uiPriority w:val="99"/>
    <w:unhideWhenUsed/>
    <w:rsid w:val="002D30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4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ugs.com/drug_interactions.html" TargetMode="Externa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6B23AF8A78F4586086C18255F31E3" ma:contentTypeVersion="13" ma:contentTypeDescription="Create a new document." ma:contentTypeScope="" ma:versionID="c9a0aa26e0551fd206bfc0843bb9d3d8">
  <xsd:schema xmlns:xsd="http://www.w3.org/2001/XMLSchema" xmlns:xs="http://www.w3.org/2001/XMLSchema" xmlns:p="http://schemas.microsoft.com/office/2006/metadata/properties" xmlns:ns3="37ca9ace-3b92-4ee6-afed-cf0faedb9c02" xmlns:ns4="337a42ba-5ab2-460f-8618-1f04ad17e5b9" targetNamespace="http://schemas.microsoft.com/office/2006/metadata/properties" ma:root="true" ma:fieldsID="100ec5eeaf2c89b8b2e7efc7b4ea4211" ns3:_="" ns4:_="">
    <xsd:import namespace="37ca9ace-3b92-4ee6-afed-cf0faedb9c02"/>
    <xsd:import namespace="337a42ba-5ab2-460f-8618-1f04ad17e5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9ace-3b92-4ee6-afed-cf0faedb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7a42ba-5ab2-460f-8618-1f04ad17e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A0213-077C-469E-8629-93B5209DA5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81747-61C3-4F5F-9430-DFBA569132E6}">
  <ds:schemaRefs>
    <ds:schemaRef ds:uri="http://schemas.microsoft.com/sharepoint/v3/contenttype/forms"/>
  </ds:schemaRefs>
</ds:datastoreItem>
</file>

<file path=customXml/itemProps3.xml><?xml version="1.0" encoding="utf-8"?>
<ds:datastoreItem xmlns:ds="http://schemas.openxmlformats.org/officeDocument/2006/customXml" ds:itemID="{B00E2ECD-9363-4D31-B18C-6D7224D3F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a9ace-3b92-4ee6-afed-cf0faedb9c02"/>
    <ds:schemaRef ds:uri="337a42ba-5ab2-460f-8618-1f04ad17e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4914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Bayer</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Pierluigi</dc:creator>
  <cp:lastModifiedBy>tonto</cp:lastModifiedBy>
  <cp:revision>2</cp:revision>
  <cp:lastPrinted>2020-10-20T10:12:00Z</cp:lastPrinted>
  <dcterms:created xsi:type="dcterms:W3CDTF">2020-10-21T12:11:00Z</dcterms:created>
  <dcterms:modified xsi:type="dcterms:W3CDTF">2020-10-21T12:11:00Z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0x0101003536B23AF8A78F4586086C18255F31E3</vt:lpwstr>
  </property>
  <property fmtid="{D5CDD505-2E9C-101B-9397-08002B2CF9AE}" pid="3" name="MSIP_Label_7f850223-87a8-40c3-9eb2-432606efca2a_Application">
    <vt:lpwstr>Microsoft Azure Information Protection</vt:lpwstr>
  </property>
  <property fmtid="{D5CDD505-2E9C-101B-9397-08002B2CF9AE}" pid="4" name="MSIP_Label_7f850223-87a8-40c3-9eb2-432606efca2a_Enabled">
    <vt:lpwstr>True</vt:lpwstr>
  </property>
  <property fmtid="{D5CDD505-2E9C-101B-9397-08002B2CF9AE}" pid="5" name="MSIP_Label_7f850223-87a8-40c3-9eb2-432606efca2a_Extended_MSFT_Method">
    <vt:lpwstr>Automatic</vt:lpwstr>
  </property>
  <property fmtid="{D5CDD505-2E9C-101B-9397-08002B2CF9AE}" pid="6" name="MSIP_Label_7f850223-87a8-40c3-9eb2-432606efca2a_Name">
    <vt:lpwstr>NO CLASSIFICATION</vt:lpwstr>
  </property>
  <property fmtid="{D5CDD505-2E9C-101B-9397-08002B2CF9AE}" pid="7" name="MSIP_Label_7f850223-87a8-40c3-9eb2-432606efca2a_Owner">
    <vt:lpwstr>gloria.pierluigi@bayer.com</vt:lpwstr>
  </property>
  <property fmtid="{D5CDD505-2E9C-101B-9397-08002B2CF9AE}" pid="8" name="MSIP_Label_7f850223-87a8-40c3-9eb2-432606efca2a_SetDate">
    <vt:lpwstr>2020-07-24T08:37:16.9309498Z</vt:lpwstr>
  </property>
  <property fmtid="{D5CDD505-2E9C-101B-9397-08002B2CF9AE}" pid="9" name="MSIP_Label_7f850223-87a8-40c3-9eb2-432606efca2a_SiteId">
    <vt:lpwstr>fcb2b37b-5da0-466b-9b83-0014b67a7c78</vt:lpwstr>
  </property>
  <property fmtid="{D5CDD505-2E9C-101B-9397-08002B2CF9AE}" pid="10" name="Sensitivity">
    <vt:lpwstr>NO CLASSIFICATION</vt:lpwstr>
  </property>
</Properties>
</file>