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4B" w:rsidRPr="00483451" w:rsidRDefault="00963F4B" w:rsidP="00963F4B">
      <w:pPr>
        <w:jc w:val="center"/>
        <w:rPr>
          <w:rFonts w:ascii="Calibri" w:hAnsi="Calibri" w:cs="Calibri"/>
          <w:b/>
          <w:iCs/>
          <w:color w:val="FF0000"/>
          <w:sz w:val="32"/>
          <w:szCs w:val="32"/>
        </w:rPr>
      </w:pPr>
      <w:r w:rsidRPr="00483451">
        <w:rPr>
          <w:rFonts w:ascii="Calibri" w:hAnsi="Calibri" w:cs="Calibri"/>
          <w:b/>
          <w:iCs/>
          <w:color w:val="FF0000"/>
          <w:sz w:val="32"/>
          <w:szCs w:val="32"/>
        </w:rPr>
        <w:t xml:space="preserve">VACCINI </w:t>
      </w:r>
      <w:r>
        <w:rPr>
          <w:rFonts w:ascii="Calibri" w:hAnsi="Calibri" w:cs="Calibri"/>
          <w:b/>
          <w:iCs/>
          <w:color w:val="FF0000"/>
          <w:sz w:val="32"/>
          <w:szCs w:val="32"/>
        </w:rPr>
        <w:t>ANTIPNEUMOCOCCO CVAP</w:t>
      </w:r>
      <w:r w:rsidRPr="00483451">
        <w:rPr>
          <w:rFonts w:ascii="Calibri" w:hAnsi="Calibri" w:cs="Calibri"/>
          <w:b/>
          <w:iCs/>
          <w:color w:val="FF0000"/>
          <w:sz w:val="32"/>
          <w:szCs w:val="32"/>
        </w:rPr>
        <w:t xml:space="preserve"> 2022-2023 E INDICAZIONI </w:t>
      </w:r>
      <w:r w:rsidR="00DA4C2D">
        <w:rPr>
          <w:rFonts w:ascii="Calibri" w:hAnsi="Calibri" w:cs="Calibri"/>
          <w:b/>
          <w:iCs/>
          <w:color w:val="FF0000"/>
          <w:sz w:val="32"/>
          <w:szCs w:val="32"/>
        </w:rPr>
        <w:t>- SINTESI</w:t>
      </w:r>
      <w:bookmarkStart w:id="0" w:name="_GoBack"/>
      <w:bookmarkEnd w:id="0"/>
    </w:p>
    <w:p w:rsidR="0061517F" w:rsidRDefault="0061517F">
      <w:pPr>
        <w:spacing w:line="360" w:lineRule="auto"/>
        <w:jc w:val="both"/>
        <w:rPr>
          <w:rFonts w:ascii="Bookman Old Style" w:hAnsi="Bookman Old Style"/>
          <w:iCs/>
          <w:sz w:val="20"/>
          <w:szCs w:val="20"/>
          <w:u w:val="single"/>
          <w:lang w:eastAsia="en-US"/>
        </w:rPr>
      </w:pPr>
    </w:p>
    <w:p w:rsidR="0061517F" w:rsidRPr="00963F4B" w:rsidRDefault="00963F4B">
      <w:pPr>
        <w:spacing w:line="360" w:lineRule="auto"/>
        <w:jc w:val="both"/>
        <w:rPr>
          <w:rFonts w:ascii="Calibri" w:hAnsi="Calibri" w:cs="Calibri"/>
          <w:iCs/>
          <w:sz w:val="22"/>
          <w:szCs w:val="22"/>
          <w:u w:val="single"/>
          <w:lang w:eastAsia="en-US"/>
        </w:rPr>
      </w:pPr>
      <w:r w:rsidRPr="00963F4B">
        <w:rPr>
          <w:rFonts w:ascii="Calibri" w:hAnsi="Calibri" w:cs="Calibri"/>
          <w:iCs/>
          <w:sz w:val="22"/>
          <w:szCs w:val="22"/>
          <w:u w:val="single"/>
          <w:lang w:eastAsia="en-US"/>
        </w:rPr>
        <w:t>L</w:t>
      </w:r>
      <w:r w:rsidR="002435FC" w:rsidRPr="00963F4B">
        <w:rPr>
          <w:rFonts w:ascii="Calibri" w:hAnsi="Calibri" w:cs="Calibri"/>
          <w:iCs/>
          <w:sz w:val="22"/>
          <w:szCs w:val="22"/>
          <w:u w:val="single"/>
          <w:lang w:eastAsia="en-US"/>
        </w:rPr>
        <w:t xml:space="preserve">e specialità vaccinali disponibili diventano </w:t>
      </w:r>
      <w:r w:rsidR="002435FC" w:rsidRPr="00963F4B">
        <w:rPr>
          <w:rFonts w:ascii="Calibri" w:hAnsi="Calibri" w:cs="Calibri"/>
          <w:iCs/>
          <w:sz w:val="22"/>
          <w:szCs w:val="22"/>
          <w:u w:val="single"/>
          <w:lang w:eastAsia="en-US"/>
        </w:rPr>
        <w:t>quattro:</w:t>
      </w: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63F4B">
        <w:rPr>
          <w:rFonts w:ascii="Calibri" w:hAnsi="Calibri" w:cs="Calibri"/>
          <w:iCs/>
          <w:sz w:val="22"/>
          <w:szCs w:val="22"/>
          <w:lang w:eastAsia="en-US"/>
        </w:rPr>
        <w:t xml:space="preserve">a) il vaccino coniugato 13-valente </w:t>
      </w:r>
      <w:r w:rsidRPr="00963F4B">
        <w:rPr>
          <w:rFonts w:ascii="Calibri" w:hAnsi="Calibri" w:cs="Calibri"/>
          <w:b/>
          <w:iCs/>
          <w:sz w:val="22"/>
          <w:szCs w:val="22"/>
          <w:lang w:eastAsia="en-US"/>
        </w:rPr>
        <w:t>Prevenar 13</w:t>
      </w:r>
      <w:r w:rsidRPr="00963F4B">
        <w:rPr>
          <w:rFonts w:ascii="Calibri" w:hAnsi="Calibri" w:cs="Calibri"/>
          <w:b/>
          <w:bCs/>
          <w:sz w:val="22"/>
          <w:szCs w:val="22"/>
          <w:vertAlign w:val="superscript"/>
        </w:rPr>
        <w:t>®</w:t>
      </w:r>
      <w:r w:rsidR="00963F4B">
        <w:rPr>
          <w:rFonts w:ascii="Calibri" w:hAnsi="Calibri" w:cs="Calibri"/>
          <w:bCs/>
          <w:sz w:val="22"/>
          <w:szCs w:val="22"/>
        </w:rPr>
        <w:t xml:space="preserve"> </w:t>
      </w:r>
      <w:r w:rsidRPr="00963F4B">
        <w:rPr>
          <w:rFonts w:ascii="Calibri" w:hAnsi="Calibri" w:cs="Calibri"/>
          <w:bCs/>
          <w:sz w:val="22"/>
          <w:szCs w:val="22"/>
        </w:rPr>
        <w:t xml:space="preserve">verrà affiancato e progressivamente sostituito dal nuovo vaccino coniugato </w:t>
      </w:r>
      <w:r w:rsidRPr="00963F4B">
        <w:rPr>
          <w:rFonts w:ascii="Calibri" w:hAnsi="Calibri" w:cs="Calibri"/>
          <w:b/>
          <w:bCs/>
          <w:sz w:val="22"/>
          <w:szCs w:val="22"/>
        </w:rPr>
        <w:t>20-valente Apexxnar</w:t>
      </w:r>
      <w:r w:rsidRPr="00963F4B">
        <w:rPr>
          <w:rFonts w:ascii="Calibri" w:hAnsi="Calibri" w:cs="Calibri"/>
          <w:b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>. Dal 1° ottobre, Apexxnar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 xml:space="preserve"> potrà essere utilizzato per le persone a partire dai 18</w:t>
      </w:r>
      <w:r w:rsidRPr="00963F4B">
        <w:rPr>
          <w:rFonts w:ascii="Calibri" w:hAnsi="Calibri" w:cs="Calibri"/>
          <w:bCs/>
          <w:sz w:val="22"/>
          <w:szCs w:val="22"/>
        </w:rPr>
        <w:t xml:space="preserve"> anni di età, mentre Prevenar 13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 xml:space="preserve"> continuerà ad essere utilizzato per le persone di età dai 2 anni ai 17 anni</w:t>
      </w:r>
      <w:r w:rsidRPr="00963F4B">
        <w:rPr>
          <w:rFonts w:ascii="Calibri" w:hAnsi="Calibri" w:cs="Calibri"/>
          <w:bCs/>
          <w:sz w:val="22"/>
          <w:szCs w:val="22"/>
        </w:rPr>
        <w:t>. Presumibilmente nei primi mesi del 2023, Apexxnar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 xml:space="preserve"> riceverà l’autorizzazione anche per le classi d’</w:t>
      </w:r>
      <w:r w:rsidR="00963F4B">
        <w:rPr>
          <w:rFonts w:ascii="Calibri" w:hAnsi="Calibri" w:cs="Calibri"/>
          <w:bCs/>
          <w:sz w:val="22"/>
          <w:szCs w:val="22"/>
        </w:rPr>
        <w:t>età pediatriche e</w:t>
      </w:r>
      <w:r w:rsidRPr="00963F4B">
        <w:rPr>
          <w:rFonts w:ascii="Calibri" w:hAnsi="Calibri" w:cs="Calibri"/>
          <w:bCs/>
          <w:sz w:val="22"/>
          <w:szCs w:val="22"/>
        </w:rPr>
        <w:t xml:space="preserve"> Prevenar 13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 xml:space="preserve"> verrà </w:t>
      </w:r>
      <w:r w:rsidR="00963F4B">
        <w:rPr>
          <w:rFonts w:ascii="Calibri" w:hAnsi="Calibri" w:cs="Calibri"/>
          <w:bCs/>
          <w:sz w:val="22"/>
          <w:szCs w:val="22"/>
        </w:rPr>
        <w:t>progre</w:t>
      </w:r>
      <w:r w:rsidR="00A54B3A">
        <w:rPr>
          <w:rFonts w:ascii="Calibri" w:hAnsi="Calibri" w:cs="Calibri"/>
          <w:bCs/>
          <w:sz w:val="22"/>
          <w:szCs w:val="22"/>
        </w:rPr>
        <w:t>s</w:t>
      </w:r>
      <w:r w:rsidR="00963F4B">
        <w:rPr>
          <w:rFonts w:ascii="Calibri" w:hAnsi="Calibri" w:cs="Calibri"/>
          <w:bCs/>
          <w:sz w:val="22"/>
          <w:szCs w:val="22"/>
        </w:rPr>
        <w:t xml:space="preserve">sivamente </w:t>
      </w:r>
      <w:r w:rsidRPr="00963F4B">
        <w:rPr>
          <w:rFonts w:ascii="Calibri" w:hAnsi="Calibri" w:cs="Calibri"/>
          <w:bCs/>
          <w:sz w:val="22"/>
          <w:szCs w:val="22"/>
        </w:rPr>
        <w:t>ritirato dal commercio;</w:t>
      </w: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63F4B">
        <w:rPr>
          <w:rFonts w:ascii="Calibri" w:hAnsi="Calibri" w:cs="Calibri"/>
          <w:bCs/>
          <w:sz w:val="22"/>
          <w:szCs w:val="22"/>
        </w:rPr>
        <w:t xml:space="preserve">b) il vaccino polisaccaridico non coniugato </w:t>
      </w:r>
      <w:r w:rsidRPr="00963F4B">
        <w:rPr>
          <w:rFonts w:ascii="Calibri" w:hAnsi="Calibri" w:cs="Calibri"/>
          <w:b/>
          <w:bCs/>
          <w:sz w:val="22"/>
          <w:szCs w:val="22"/>
        </w:rPr>
        <w:t>23-valente Pneumovax</w:t>
      </w:r>
      <w:r w:rsidRPr="00963F4B">
        <w:rPr>
          <w:rFonts w:ascii="Calibri" w:hAnsi="Calibri" w:cs="Calibri"/>
          <w:b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 xml:space="preserve"> co</w:t>
      </w:r>
      <w:r w:rsidRPr="00963F4B">
        <w:rPr>
          <w:rFonts w:ascii="Calibri" w:hAnsi="Calibri" w:cs="Calibri"/>
          <w:bCs/>
          <w:sz w:val="22"/>
          <w:szCs w:val="22"/>
        </w:rPr>
        <w:t xml:space="preserve">ntinuerà ad essere disponibile per </w:t>
      </w:r>
      <w:r w:rsidR="00963F4B">
        <w:rPr>
          <w:rFonts w:ascii="Calibri" w:hAnsi="Calibri" w:cs="Calibri"/>
          <w:bCs/>
          <w:sz w:val="22"/>
          <w:szCs w:val="22"/>
        </w:rPr>
        <w:t xml:space="preserve">la schedula vaccinale sequenziale dopo </w:t>
      </w:r>
      <w:r w:rsidR="00A54B3A">
        <w:rPr>
          <w:rFonts w:ascii="Calibri" w:hAnsi="Calibri" w:cs="Calibri"/>
          <w:bCs/>
          <w:sz w:val="22"/>
          <w:szCs w:val="22"/>
        </w:rPr>
        <w:t>vaccino coniugato 13 o 15-valente</w:t>
      </w:r>
    </w:p>
    <w:p w:rsidR="0061517F" w:rsidRDefault="002435F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63F4B">
        <w:rPr>
          <w:rFonts w:ascii="Calibri" w:hAnsi="Calibri" w:cs="Calibri"/>
          <w:bCs/>
          <w:sz w:val="22"/>
          <w:szCs w:val="22"/>
        </w:rPr>
        <w:t xml:space="preserve">c) </w:t>
      </w:r>
      <w:r w:rsidR="00963F4B">
        <w:rPr>
          <w:rFonts w:ascii="Calibri" w:hAnsi="Calibri" w:cs="Calibri"/>
          <w:bCs/>
          <w:sz w:val="22"/>
          <w:szCs w:val="22"/>
        </w:rPr>
        <w:t>s</w:t>
      </w:r>
      <w:r w:rsidRPr="00963F4B">
        <w:rPr>
          <w:rFonts w:ascii="Calibri" w:hAnsi="Calibri" w:cs="Calibri"/>
          <w:bCs/>
          <w:sz w:val="22"/>
          <w:szCs w:val="22"/>
        </w:rPr>
        <w:t xml:space="preserve">arà </w:t>
      </w:r>
      <w:r w:rsidRPr="00963F4B">
        <w:rPr>
          <w:rFonts w:ascii="Calibri" w:hAnsi="Calibri" w:cs="Calibri"/>
          <w:bCs/>
          <w:sz w:val="22"/>
          <w:szCs w:val="22"/>
        </w:rPr>
        <w:t xml:space="preserve">disponibile un ulteriore nuovo </w:t>
      </w:r>
      <w:r w:rsidRPr="00963F4B">
        <w:rPr>
          <w:rFonts w:ascii="Calibri" w:hAnsi="Calibri" w:cs="Calibri"/>
          <w:b/>
          <w:bCs/>
          <w:sz w:val="22"/>
          <w:szCs w:val="22"/>
        </w:rPr>
        <w:t xml:space="preserve">vaccino coniugato 15-valente, </w:t>
      </w:r>
      <w:r w:rsidRPr="00963F4B">
        <w:rPr>
          <w:rFonts w:ascii="Calibri" w:hAnsi="Calibri" w:cs="Calibri"/>
          <w:b/>
          <w:bCs/>
          <w:sz w:val="22"/>
          <w:szCs w:val="22"/>
        </w:rPr>
        <w:t>V</w:t>
      </w:r>
      <w:r w:rsidRPr="00963F4B">
        <w:rPr>
          <w:rFonts w:ascii="Calibri" w:hAnsi="Calibri" w:cs="Calibri"/>
          <w:b/>
          <w:bCs/>
          <w:sz w:val="22"/>
          <w:szCs w:val="22"/>
        </w:rPr>
        <w:t>axneuvance</w:t>
      </w:r>
      <w:r w:rsidRPr="00963F4B">
        <w:rPr>
          <w:rFonts w:ascii="Calibri" w:hAnsi="Calibri" w:cs="Calibri"/>
          <w:b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 xml:space="preserve">, </w:t>
      </w:r>
      <w:r w:rsidRPr="00963F4B">
        <w:rPr>
          <w:rFonts w:ascii="Calibri" w:hAnsi="Calibri" w:cs="Calibri"/>
          <w:bCs/>
          <w:sz w:val="22"/>
          <w:szCs w:val="22"/>
        </w:rPr>
        <w:t>per le persone a partire dai 18 anni di età. Presumibilmente entro la fine del 2022, Vaxneuvance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 xml:space="preserve"> riceverà l’autorizzazione anche p</w:t>
      </w:r>
      <w:r w:rsidR="00963F4B">
        <w:rPr>
          <w:rFonts w:ascii="Calibri" w:hAnsi="Calibri" w:cs="Calibri"/>
          <w:bCs/>
          <w:sz w:val="22"/>
          <w:szCs w:val="22"/>
        </w:rPr>
        <w:t>er le classi d’età pediatriche.</w:t>
      </w:r>
    </w:p>
    <w:p w:rsidR="00963F4B" w:rsidRPr="00963F4B" w:rsidRDefault="00963F4B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61517F" w:rsidRPr="00963F4B" w:rsidRDefault="00963F4B">
      <w:pPr>
        <w:spacing w:line="360" w:lineRule="auto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  <w:u w:val="single"/>
        </w:rPr>
        <w:t>N</w:t>
      </w:r>
      <w:r w:rsidR="002435FC" w:rsidRPr="00963F4B">
        <w:rPr>
          <w:rFonts w:ascii="Calibri" w:hAnsi="Calibri" w:cs="Calibri"/>
          <w:bCs/>
          <w:sz w:val="22"/>
          <w:szCs w:val="22"/>
          <w:u w:val="single"/>
        </w:rPr>
        <w:t xml:space="preserve">uove raccomandazioni interinali </w:t>
      </w:r>
      <w:r>
        <w:rPr>
          <w:rFonts w:ascii="Calibri" w:hAnsi="Calibri" w:cs="Calibri"/>
          <w:bCs/>
          <w:sz w:val="22"/>
          <w:szCs w:val="22"/>
          <w:u w:val="single"/>
        </w:rPr>
        <w:t xml:space="preserve">della Regione Lazio </w:t>
      </w:r>
      <w:r w:rsidR="002435FC" w:rsidRPr="00963F4B">
        <w:rPr>
          <w:rFonts w:ascii="Calibri" w:hAnsi="Calibri" w:cs="Calibri"/>
          <w:bCs/>
          <w:sz w:val="22"/>
          <w:szCs w:val="22"/>
          <w:u w:val="single"/>
        </w:rPr>
        <w:t>da applicare per le persone adulte</w:t>
      </w:r>
      <w:r w:rsidR="002435FC" w:rsidRPr="00963F4B">
        <w:rPr>
          <w:rFonts w:ascii="Calibri" w:hAnsi="Calibri" w:cs="Calibri"/>
          <w:bCs/>
          <w:sz w:val="22"/>
          <w:szCs w:val="22"/>
          <w:u w:val="single"/>
        </w:rPr>
        <w:t xml:space="preserve">: </w:t>
      </w: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63F4B">
        <w:rPr>
          <w:rFonts w:ascii="Calibri" w:hAnsi="Calibri" w:cs="Calibri"/>
          <w:bCs/>
          <w:sz w:val="22"/>
          <w:szCs w:val="22"/>
        </w:rPr>
        <w:t xml:space="preserve">a) </w:t>
      </w:r>
      <w:r w:rsidRPr="00963F4B">
        <w:rPr>
          <w:rFonts w:ascii="Calibri" w:hAnsi="Calibri" w:cs="Calibri"/>
          <w:b/>
          <w:bCs/>
          <w:sz w:val="22"/>
          <w:szCs w:val="22"/>
          <w:u w:val="single"/>
        </w:rPr>
        <w:t>Persone che iniziano il ciclo vaccinale</w:t>
      </w:r>
      <w:r w:rsidRPr="00963F4B">
        <w:rPr>
          <w:rFonts w:ascii="Calibri" w:hAnsi="Calibri" w:cs="Calibri"/>
          <w:bCs/>
          <w:sz w:val="22"/>
          <w:szCs w:val="22"/>
        </w:rPr>
        <w:t>: vaccino raccomandato Apexxnar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 xml:space="preserve"> (con l’eventuale eccezione riportata alla successiva lettera d). Al momento </w:t>
      </w:r>
      <w:r w:rsidR="00A54B3A">
        <w:rPr>
          <w:rFonts w:ascii="Calibri" w:hAnsi="Calibri" w:cs="Calibri"/>
          <w:bCs/>
          <w:sz w:val="22"/>
          <w:szCs w:val="22"/>
        </w:rPr>
        <w:t>NON</w:t>
      </w:r>
      <w:r w:rsidRPr="00963F4B">
        <w:rPr>
          <w:rFonts w:ascii="Calibri" w:hAnsi="Calibri" w:cs="Calibri"/>
          <w:bCs/>
          <w:sz w:val="22"/>
          <w:szCs w:val="22"/>
        </w:rPr>
        <w:t xml:space="preserve"> sussistono indicazioni per l’applicazione di una eventuale schedula sequenziale</w:t>
      </w:r>
      <w:r w:rsidRPr="00963F4B">
        <w:rPr>
          <w:rFonts w:ascii="Calibri" w:hAnsi="Calibri" w:cs="Calibri"/>
          <w:bCs/>
          <w:sz w:val="22"/>
          <w:szCs w:val="22"/>
        </w:rPr>
        <w:t xml:space="preserve"> con altra speciali</w:t>
      </w:r>
      <w:r w:rsidRPr="00963F4B">
        <w:rPr>
          <w:rFonts w:ascii="Calibri" w:hAnsi="Calibri" w:cs="Calibri"/>
          <w:bCs/>
          <w:sz w:val="22"/>
          <w:szCs w:val="22"/>
        </w:rPr>
        <w:t>tà vaccinale;</w:t>
      </w: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63F4B">
        <w:rPr>
          <w:rFonts w:ascii="Calibri" w:hAnsi="Calibri" w:cs="Calibri"/>
          <w:bCs/>
          <w:sz w:val="22"/>
          <w:szCs w:val="22"/>
        </w:rPr>
        <w:t xml:space="preserve">b) </w:t>
      </w:r>
      <w:r w:rsidRPr="00963F4B">
        <w:rPr>
          <w:rFonts w:ascii="Calibri" w:hAnsi="Calibri" w:cs="Calibri"/>
          <w:b/>
          <w:bCs/>
          <w:sz w:val="22"/>
          <w:szCs w:val="22"/>
          <w:u w:val="single"/>
        </w:rPr>
        <w:t>Persone che abbiano già iniziato il ciclo vaccinale, avendo ricevuto il vaccino Prevenar 13</w:t>
      </w:r>
      <w:r w:rsidRPr="00963F4B">
        <w:rPr>
          <w:rFonts w:ascii="Calibri" w:hAnsi="Calibri" w:cs="Calibri"/>
          <w:b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>: proseguire il ciclo vaccinale con l’applicazi</w:t>
      </w:r>
      <w:r w:rsidR="00963F4B">
        <w:rPr>
          <w:rFonts w:ascii="Calibri" w:hAnsi="Calibri" w:cs="Calibri"/>
          <w:bCs/>
          <w:sz w:val="22"/>
          <w:szCs w:val="22"/>
        </w:rPr>
        <w:t xml:space="preserve">one della schedula sequenziale </w:t>
      </w:r>
      <w:r w:rsidRPr="00963F4B">
        <w:rPr>
          <w:rFonts w:ascii="Calibri" w:hAnsi="Calibri" w:cs="Calibri"/>
          <w:bCs/>
          <w:sz w:val="22"/>
          <w:szCs w:val="22"/>
        </w:rPr>
        <w:t xml:space="preserve">con </w:t>
      </w:r>
      <w:r w:rsidRPr="00963F4B">
        <w:rPr>
          <w:rFonts w:ascii="Calibri" w:hAnsi="Calibri" w:cs="Calibri"/>
          <w:bCs/>
          <w:sz w:val="22"/>
          <w:szCs w:val="22"/>
        </w:rPr>
        <w:t>vaccino Pneumovax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 xml:space="preserve"> </w:t>
      </w: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63F4B">
        <w:rPr>
          <w:rFonts w:ascii="Calibri" w:hAnsi="Calibri" w:cs="Calibri"/>
          <w:bCs/>
          <w:sz w:val="22"/>
          <w:szCs w:val="22"/>
        </w:rPr>
        <w:t xml:space="preserve">c) </w:t>
      </w:r>
      <w:r w:rsidRPr="00963F4B">
        <w:rPr>
          <w:rFonts w:ascii="Calibri" w:hAnsi="Calibri" w:cs="Calibri"/>
          <w:b/>
          <w:bCs/>
          <w:sz w:val="22"/>
          <w:szCs w:val="22"/>
          <w:u w:val="single"/>
        </w:rPr>
        <w:t>Persone che abbiano già completato la schedula sequenziale (Prevenar 13</w:t>
      </w:r>
      <w:r w:rsidRPr="00963F4B">
        <w:rPr>
          <w:rFonts w:ascii="Calibri" w:hAnsi="Calibri" w:cs="Calibri"/>
          <w:b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/>
          <w:bCs/>
          <w:sz w:val="22"/>
          <w:szCs w:val="22"/>
          <w:u w:val="single"/>
        </w:rPr>
        <w:t xml:space="preserve"> + Pneumovax</w:t>
      </w:r>
      <w:r w:rsidRPr="00963F4B">
        <w:rPr>
          <w:rFonts w:ascii="Calibri" w:hAnsi="Calibri" w:cs="Calibri"/>
          <w:b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/>
          <w:bCs/>
          <w:sz w:val="22"/>
          <w:szCs w:val="22"/>
          <w:u w:val="single"/>
        </w:rPr>
        <w:t>)</w:t>
      </w:r>
      <w:r w:rsidRPr="00963F4B">
        <w:rPr>
          <w:rFonts w:ascii="Calibri" w:hAnsi="Calibri" w:cs="Calibri"/>
          <w:bCs/>
          <w:sz w:val="22"/>
          <w:szCs w:val="22"/>
        </w:rPr>
        <w:t xml:space="preserve">: al momento </w:t>
      </w:r>
      <w:r w:rsidR="00A54B3A">
        <w:rPr>
          <w:rFonts w:ascii="Calibri" w:hAnsi="Calibri" w:cs="Calibri"/>
          <w:bCs/>
          <w:sz w:val="22"/>
          <w:szCs w:val="22"/>
        </w:rPr>
        <w:t xml:space="preserve">NON </w:t>
      </w:r>
      <w:r w:rsidRPr="00963F4B">
        <w:rPr>
          <w:rFonts w:ascii="Calibri" w:hAnsi="Calibri" w:cs="Calibri"/>
          <w:bCs/>
          <w:sz w:val="22"/>
          <w:szCs w:val="22"/>
        </w:rPr>
        <w:t>sussistono indicazioni per la somministrazione di ulteriori vaccini;</w:t>
      </w: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63F4B">
        <w:rPr>
          <w:rFonts w:ascii="Calibri" w:hAnsi="Calibri" w:cs="Calibri"/>
          <w:bCs/>
          <w:sz w:val="22"/>
          <w:szCs w:val="22"/>
        </w:rPr>
        <w:t xml:space="preserve">d)  </w:t>
      </w:r>
      <w:r w:rsidRPr="00963F4B">
        <w:rPr>
          <w:rFonts w:ascii="Calibri" w:hAnsi="Calibri" w:cs="Calibri"/>
          <w:b/>
          <w:bCs/>
          <w:sz w:val="22"/>
          <w:szCs w:val="22"/>
          <w:u w:val="single"/>
        </w:rPr>
        <w:t>Persone con una marcata com</w:t>
      </w:r>
      <w:r w:rsidRPr="00963F4B">
        <w:rPr>
          <w:rFonts w:ascii="Calibri" w:hAnsi="Calibri" w:cs="Calibri"/>
          <w:b/>
          <w:bCs/>
          <w:sz w:val="22"/>
          <w:szCs w:val="22"/>
          <w:u w:val="single"/>
        </w:rPr>
        <w:t>promissione della risposta immunitaria (ad esempio, persone con infezione da HIV) che iniziano il ciclo vaccinale</w:t>
      </w:r>
      <w:r w:rsidRPr="00963F4B">
        <w:rPr>
          <w:rFonts w:ascii="Calibri" w:hAnsi="Calibri" w:cs="Calibri"/>
          <w:bCs/>
          <w:sz w:val="22"/>
          <w:szCs w:val="22"/>
          <w:u w:val="single"/>
        </w:rPr>
        <w:t>:</w:t>
      </w:r>
      <w:r w:rsidRPr="00963F4B">
        <w:rPr>
          <w:rFonts w:ascii="Calibri" w:hAnsi="Calibri" w:cs="Calibri"/>
          <w:bCs/>
          <w:sz w:val="22"/>
          <w:szCs w:val="22"/>
        </w:rPr>
        <w:t xml:space="preserve"> a seguito di accurata valutazione clinica</w:t>
      </w:r>
      <w:r w:rsidRPr="00963F4B">
        <w:rPr>
          <w:rFonts w:ascii="Calibri" w:hAnsi="Calibri" w:cs="Calibri"/>
          <w:bCs/>
          <w:sz w:val="22"/>
          <w:szCs w:val="22"/>
        </w:rPr>
        <w:t xml:space="preserve">, queste persone potranno essere sottoposte a </w:t>
      </w:r>
      <w:r w:rsidRPr="00963F4B">
        <w:rPr>
          <w:rFonts w:ascii="Calibri" w:hAnsi="Calibri" w:cs="Calibri"/>
          <w:bCs/>
          <w:sz w:val="22"/>
          <w:szCs w:val="22"/>
        </w:rPr>
        <w:t>vaccinazione o con Apexxnar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>, o con Vaxneuvance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>; se viene utilizzato Vaxneuvance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Pr="00963F4B">
        <w:rPr>
          <w:rFonts w:ascii="Calibri" w:hAnsi="Calibri" w:cs="Calibri"/>
          <w:bCs/>
          <w:sz w:val="22"/>
          <w:szCs w:val="22"/>
        </w:rPr>
        <w:t>, si applicherà poi la schedula sequenziale, con successiva somministrazione di Pneumovax</w:t>
      </w:r>
      <w:r w:rsidRPr="00963F4B">
        <w:rPr>
          <w:rFonts w:ascii="Calibri" w:hAnsi="Calibri" w:cs="Calibri"/>
          <w:bCs/>
          <w:sz w:val="22"/>
          <w:szCs w:val="22"/>
          <w:vertAlign w:val="superscript"/>
        </w:rPr>
        <w:t>®</w:t>
      </w:r>
      <w:r w:rsidR="00963F4B">
        <w:rPr>
          <w:rFonts w:ascii="Calibri" w:hAnsi="Calibri" w:cs="Calibri"/>
          <w:bCs/>
          <w:sz w:val="22"/>
          <w:szCs w:val="22"/>
          <w:vertAlign w:val="superscript"/>
        </w:rPr>
        <w:t>.</w:t>
      </w:r>
      <w:r w:rsidRPr="00963F4B">
        <w:rPr>
          <w:rFonts w:ascii="Calibri" w:hAnsi="Calibri" w:cs="Calibri"/>
          <w:bCs/>
          <w:sz w:val="22"/>
          <w:szCs w:val="22"/>
        </w:rPr>
        <w:t xml:space="preserve"> </w:t>
      </w: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63F4B">
        <w:rPr>
          <w:rFonts w:ascii="Calibri" w:hAnsi="Calibri" w:cs="Calibri"/>
          <w:bCs/>
          <w:sz w:val="22"/>
          <w:szCs w:val="22"/>
        </w:rPr>
        <w:t xml:space="preserve">4) </w:t>
      </w:r>
      <w:r w:rsidRPr="00963F4B">
        <w:rPr>
          <w:rFonts w:ascii="Calibri" w:hAnsi="Calibri" w:cs="Calibri"/>
          <w:bCs/>
          <w:sz w:val="22"/>
          <w:szCs w:val="22"/>
        </w:rPr>
        <w:t>Per le persone in età pediatrica inserite in questo Programma si continua ad applicare la disciplina previgente fino a ulteriori modifiche del regime autorizzatorio per</w:t>
      </w:r>
      <w:r w:rsidR="00385F31">
        <w:rPr>
          <w:rFonts w:ascii="Calibri" w:hAnsi="Calibri" w:cs="Calibri"/>
          <w:bCs/>
          <w:sz w:val="22"/>
          <w:szCs w:val="22"/>
        </w:rPr>
        <w:t xml:space="preserve"> le nuove specialità vaccinali (</w:t>
      </w:r>
      <w:r w:rsidRPr="00963F4B">
        <w:rPr>
          <w:rFonts w:ascii="Calibri" w:hAnsi="Calibri" w:cs="Calibri"/>
          <w:bCs/>
          <w:sz w:val="22"/>
          <w:szCs w:val="22"/>
        </w:rPr>
        <w:t xml:space="preserve">per coloro che debbano iniziare il ciclo vaccinale, </w:t>
      </w:r>
      <w:r w:rsidRPr="00963F4B">
        <w:rPr>
          <w:rFonts w:ascii="Calibri" w:hAnsi="Calibri" w:cs="Calibri"/>
          <w:bCs/>
          <w:sz w:val="22"/>
          <w:szCs w:val="22"/>
        </w:rPr>
        <w:t>si invita a valutare con attenzione la possibilità e l’opportunità di attendere che possano venir utilizzati i nuovi vaccini con un maggior numero di valenze</w:t>
      </w:r>
      <w:r w:rsidR="00385F31">
        <w:rPr>
          <w:rFonts w:ascii="Calibri" w:hAnsi="Calibri" w:cs="Calibri"/>
          <w:bCs/>
          <w:sz w:val="22"/>
          <w:szCs w:val="22"/>
        </w:rPr>
        <w:t>)</w:t>
      </w:r>
      <w:r w:rsidRPr="00963F4B">
        <w:rPr>
          <w:rFonts w:ascii="Calibri" w:hAnsi="Calibri" w:cs="Calibri"/>
          <w:bCs/>
          <w:sz w:val="22"/>
          <w:szCs w:val="22"/>
        </w:rPr>
        <w:t>.</w:t>
      </w:r>
    </w:p>
    <w:p w:rsidR="0061517F" w:rsidRPr="00963F4B" w:rsidRDefault="0061517F">
      <w:pPr>
        <w:jc w:val="both"/>
        <w:rPr>
          <w:rFonts w:ascii="Calibri" w:hAnsi="Calibri" w:cs="Calibri"/>
          <w:sz w:val="22"/>
          <w:szCs w:val="22"/>
        </w:rPr>
      </w:pPr>
    </w:p>
    <w:p w:rsidR="0061517F" w:rsidRPr="00385F31" w:rsidRDefault="008C37CF" w:rsidP="00385F31">
      <w:pPr>
        <w:spacing w:line="360" w:lineRule="auto"/>
        <w:ind w:left="57" w:right="57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483451">
        <w:rPr>
          <w:rFonts w:ascii="Calibri" w:hAnsi="Calibri" w:cs="Calibri"/>
          <w:b/>
          <w:bCs/>
          <w:iCs/>
          <w:color w:val="FF0000"/>
          <w:sz w:val="22"/>
          <w:szCs w:val="22"/>
        </w:rPr>
        <w:t>CATEGORIE PER LE QUALI LA VAC</w:t>
      </w:r>
      <w:r w:rsidR="00385F31">
        <w:rPr>
          <w:rFonts w:ascii="Calibri" w:hAnsi="Calibri" w:cs="Calibri"/>
          <w:b/>
          <w:bCs/>
          <w:iCs/>
          <w:color w:val="FF0000"/>
          <w:sz w:val="22"/>
          <w:szCs w:val="22"/>
        </w:rPr>
        <w:t>CINAZIONE È RACCONADATA</w:t>
      </w:r>
      <w:r w:rsidRPr="00483451">
        <w:rPr>
          <w:rFonts w:ascii="Calibri" w:hAnsi="Calibri" w:cs="Calibri"/>
          <w:b/>
          <w:bCs/>
          <w:iCs/>
          <w:color w:val="FF0000"/>
          <w:sz w:val="22"/>
          <w:szCs w:val="22"/>
        </w:rPr>
        <w:t xml:space="preserve"> E </w:t>
      </w:r>
      <w:r>
        <w:rPr>
          <w:rFonts w:ascii="Calibri" w:hAnsi="Calibri" w:cs="Calibri"/>
          <w:b/>
          <w:bCs/>
          <w:iCs/>
          <w:color w:val="FF0000"/>
          <w:sz w:val="22"/>
          <w:szCs w:val="22"/>
        </w:rPr>
        <w:t xml:space="preserve">GRATUITA </w:t>
      </w: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963F4B">
        <w:rPr>
          <w:rFonts w:ascii="Calibri" w:hAnsi="Calibri" w:cs="Calibri"/>
          <w:b/>
          <w:sz w:val="22"/>
          <w:szCs w:val="22"/>
          <w:u w:val="single"/>
        </w:rPr>
        <w:t xml:space="preserve">Categoria A. Persone di età ≥ </w:t>
      </w:r>
      <w:r w:rsidRPr="00963F4B">
        <w:rPr>
          <w:rFonts w:ascii="Calibri" w:hAnsi="Calibri" w:cs="Calibri"/>
          <w:b/>
          <w:sz w:val="22"/>
          <w:szCs w:val="22"/>
          <w:u w:val="single"/>
        </w:rPr>
        <w:t>65 anni alla data di vaccinazione</w:t>
      </w:r>
      <w:r w:rsidRPr="00963F4B">
        <w:rPr>
          <w:rFonts w:ascii="Calibri" w:hAnsi="Calibri" w:cs="Calibri"/>
          <w:sz w:val="22"/>
          <w:szCs w:val="22"/>
          <w:u w:val="single"/>
        </w:rPr>
        <w:t>.</w:t>
      </w:r>
    </w:p>
    <w:p w:rsidR="00963F4B" w:rsidRDefault="00963F4B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963F4B">
        <w:rPr>
          <w:rFonts w:ascii="Calibri" w:hAnsi="Calibri" w:cs="Calibri"/>
          <w:b/>
          <w:sz w:val="22"/>
          <w:szCs w:val="22"/>
          <w:u w:val="single"/>
        </w:rPr>
        <w:t>Categoria B. Persone di età compresa tra &gt; 18 a</w:t>
      </w:r>
      <w:r w:rsidRPr="00963F4B">
        <w:rPr>
          <w:rFonts w:ascii="Calibri" w:hAnsi="Calibri" w:cs="Calibri"/>
          <w:b/>
          <w:sz w:val="22"/>
          <w:szCs w:val="22"/>
          <w:u w:val="single"/>
        </w:rPr>
        <w:t>nni e &lt; 65 anni alla data di vaccinazione, a rischio di contrarre la malattia per la presenza delle seguenti patologie o condizioni predisponenti</w:t>
      </w:r>
      <w:r w:rsidRPr="00963F4B">
        <w:rPr>
          <w:rFonts w:ascii="Calibri" w:hAnsi="Calibri" w:cs="Calibri"/>
          <w:sz w:val="22"/>
          <w:szCs w:val="22"/>
          <w:u w:val="single"/>
        </w:rPr>
        <w:t xml:space="preserve">: 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lastRenderedPageBreak/>
        <w:t>Cardiopatie croniche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Malattie polmonari croniche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Diabete Mellito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 xml:space="preserve">Epatopatie croniche, inclusa la cirrosi </w:t>
      </w:r>
      <w:r w:rsidRPr="00963F4B">
        <w:rPr>
          <w:rFonts w:ascii="Calibri" w:hAnsi="Calibri" w:cs="Calibri"/>
          <w:sz w:val="22"/>
          <w:szCs w:val="22"/>
        </w:rPr>
        <w:t>epatica e le epatopatie croniche evolutive da alcool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Alcoolismo cronico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Soggetti con perdite liquorali da traumi o intervento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Presenza di impianto cocleare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Emoglobinopatie quali anemia falciforme e talassemia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 xml:space="preserve">Immunodeficienze congenite o acquisite 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Infezio</w:t>
      </w:r>
      <w:r w:rsidRPr="00963F4B">
        <w:rPr>
          <w:rFonts w:ascii="Calibri" w:hAnsi="Calibri" w:cs="Calibri"/>
          <w:sz w:val="22"/>
          <w:szCs w:val="22"/>
        </w:rPr>
        <w:t>ne da HIV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Condizioni di asplenia anatomica o funzionale e pazienti candidati alla splenectomia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Patologie onco-ematologiche (leucemie, linfomi e mieloma multiplo)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Neoplasie diffuse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Trapianto d’organo o di midollo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Patologie richiedenti un trattamento immunos</w:t>
      </w:r>
      <w:r w:rsidRPr="00963F4B">
        <w:rPr>
          <w:rFonts w:ascii="Calibri" w:hAnsi="Calibri" w:cs="Calibri"/>
          <w:sz w:val="22"/>
          <w:szCs w:val="22"/>
        </w:rPr>
        <w:t xml:space="preserve">oppressivo a lungo termine </w:t>
      </w:r>
    </w:p>
    <w:p w:rsidR="0061517F" w:rsidRPr="00963F4B" w:rsidRDefault="002435FC" w:rsidP="00AC32E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Sindrome nefrosica o insufficienza renale cronica</w:t>
      </w:r>
    </w:p>
    <w:p w:rsidR="0061517F" w:rsidRPr="00963F4B" w:rsidRDefault="0061517F">
      <w:pPr>
        <w:spacing w:line="360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b/>
          <w:sz w:val="22"/>
          <w:szCs w:val="22"/>
          <w:u w:val="single"/>
        </w:rPr>
        <w:t>Categoria C. Persone di età compresa tra ≥ 2 anni e ≤ 18 anni alla data di vaccinazione.</w:t>
      </w: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>C1) Per le persone appartenenti alle coorti di nascita dal 2012 in poi, l’offerta è atti</w:t>
      </w:r>
      <w:r w:rsidRPr="00963F4B">
        <w:rPr>
          <w:rFonts w:ascii="Calibri" w:hAnsi="Calibri" w:cs="Calibri"/>
          <w:sz w:val="22"/>
          <w:szCs w:val="22"/>
        </w:rPr>
        <w:t>va e gratuita per tutte le persone appartenenti alla coorte considerata.</w:t>
      </w:r>
    </w:p>
    <w:p w:rsidR="0061517F" w:rsidRPr="00963F4B" w:rsidRDefault="002435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63F4B">
        <w:rPr>
          <w:rFonts w:ascii="Calibri" w:hAnsi="Calibri" w:cs="Calibri"/>
          <w:sz w:val="22"/>
          <w:szCs w:val="22"/>
        </w:rPr>
        <w:t xml:space="preserve">C2) Per le persone appartenenti alle coorti di nascita precedenti, l’offerta è attiva e gratuita per le persone a rischio di contrarre la malattia per la presenza delle patologie o condizioni predisponenti di cui all’elenco riportato per la Categoria B.  </w:t>
      </w:r>
    </w:p>
    <w:p w:rsidR="0061517F" w:rsidRPr="008C37CF" w:rsidRDefault="002435FC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963F4B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8C37CF">
        <w:rPr>
          <w:rFonts w:ascii="Calibri" w:hAnsi="Calibri" w:cs="Calibri"/>
          <w:sz w:val="22"/>
          <w:szCs w:val="22"/>
          <w:u w:val="single"/>
        </w:rPr>
        <w:t xml:space="preserve">N. B: </w:t>
      </w:r>
      <w:r w:rsidRPr="008C37CF">
        <w:rPr>
          <w:rFonts w:ascii="Calibri" w:hAnsi="Calibri" w:cs="Calibri"/>
          <w:sz w:val="22"/>
          <w:szCs w:val="22"/>
        </w:rPr>
        <w:t>Per tutte le persone entro il secondo anno di vita è confermato il Programma di offerta attiva e gratuita previsto dal PNPV 2017-2019 secondo le modalità ivi stabilite.</w:t>
      </w:r>
    </w:p>
    <w:p w:rsidR="008C37CF" w:rsidRDefault="008C37CF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61517F" w:rsidRPr="00963F4B" w:rsidRDefault="008C37CF">
      <w:pPr>
        <w:spacing w:line="340" w:lineRule="exac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Ulteriore categoria introdotto nel 2020: lavoratori e </w:t>
      </w:r>
      <w:r w:rsidR="002435FC" w:rsidRPr="008C37CF">
        <w:rPr>
          <w:rFonts w:ascii="Calibri" w:hAnsi="Calibri" w:cs="Calibri"/>
          <w:b/>
          <w:sz w:val="22"/>
          <w:szCs w:val="22"/>
        </w:rPr>
        <w:t>personale di assistenza, anche volontario, compresi i professionisti convenzionati, delle strutture sanitarie, socio-sanitarie, socio-assistenziali</w:t>
      </w:r>
      <w:r w:rsidR="002435FC" w:rsidRPr="00963F4B">
        <w:rPr>
          <w:rFonts w:ascii="Calibri" w:hAnsi="Calibri" w:cs="Calibri"/>
          <w:sz w:val="22"/>
          <w:szCs w:val="22"/>
        </w:rPr>
        <w:t>. Per le AOU e i PU che abbiano istitu</w:t>
      </w:r>
      <w:r w:rsidR="002435FC" w:rsidRPr="00963F4B">
        <w:rPr>
          <w:rFonts w:ascii="Calibri" w:hAnsi="Calibri" w:cs="Calibri"/>
          <w:sz w:val="22"/>
          <w:szCs w:val="22"/>
        </w:rPr>
        <w:t>ito Corsi di laurea delle Professioni Sanitarie, l’offerta gratuita riguarda anche i Docenti e gli Studenti che svolgano attività professionali all’interno delle suddette strutture. Tra i soggetti destinatari dell’offerta gratuita la priorità deve essere r</w:t>
      </w:r>
      <w:r w:rsidR="002435FC" w:rsidRPr="00963F4B">
        <w:rPr>
          <w:rFonts w:ascii="Calibri" w:hAnsi="Calibri" w:cs="Calibri"/>
          <w:sz w:val="22"/>
          <w:szCs w:val="22"/>
        </w:rPr>
        <w:t>iconosciuta a: a</w:t>
      </w:r>
      <w:r w:rsidR="002435FC" w:rsidRPr="008C37CF">
        <w:rPr>
          <w:rFonts w:ascii="Calibri" w:hAnsi="Calibri" w:cs="Calibri"/>
          <w:sz w:val="22"/>
          <w:szCs w:val="22"/>
          <w:u w:val="single"/>
        </w:rPr>
        <w:t xml:space="preserve">) personale impiegato nelle strutture residenziali </w:t>
      </w:r>
      <w:r w:rsidR="002435FC" w:rsidRPr="008C37CF">
        <w:rPr>
          <w:rFonts w:ascii="Calibri" w:hAnsi="Calibri" w:cs="Calibri"/>
          <w:bCs/>
          <w:sz w:val="22"/>
          <w:szCs w:val="22"/>
          <w:u w:val="single"/>
        </w:rPr>
        <w:t>socio-assistenziali e socio-sanitarie per anziani e disabili</w:t>
      </w:r>
      <w:r w:rsidR="002435FC" w:rsidRPr="008C37CF">
        <w:rPr>
          <w:rFonts w:ascii="Calibri" w:hAnsi="Calibri" w:cs="Calibri"/>
          <w:sz w:val="22"/>
          <w:szCs w:val="22"/>
          <w:u w:val="single"/>
        </w:rPr>
        <w:t>; b) operatori sanitari impiegati nell’attività di assistenza; c) operatori che lavorano nei laboratori di microbiologia.</w:t>
      </w:r>
    </w:p>
    <w:p w:rsidR="0061517F" w:rsidRPr="00963F4B" w:rsidRDefault="0061517F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385F31" w:rsidRPr="00963F4B" w:rsidRDefault="00385F31" w:rsidP="00385F31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963F4B">
        <w:rPr>
          <w:rFonts w:ascii="Calibri" w:hAnsi="Calibri" w:cs="Calibri"/>
          <w:sz w:val="22"/>
          <w:szCs w:val="22"/>
        </w:rPr>
        <w:t xml:space="preserve">’utilizzazione della campagna di vaccinazione antinfluenzale </w:t>
      </w:r>
      <w:r>
        <w:rPr>
          <w:rFonts w:ascii="Calibri" w:hAnsi="Calibri" w:cs="Calibri"/>
          <w:sz w:val="22"/>
          <w:szCs w:val="22"/>
        </w:rPr>
        <w:t>rappresenta un’o</w:t>
      </w:r>
      <w:r w:rsidRPr="00963F4B">
        <w:rPr>
          <w:rFonts w:ascii="Calibri" w:hAnsi="Calibri" w:cs="Calibri"/>
          <w:sz w:val="22"/>
          <w:szCs w:val="22"/>
        </w:rPr>
        <w:t>ccasione opportuna di immunizzazione anche contro lo pneumococco. Tuttavia, non essendo quella pneumococcica una vaccinazione da ripetersi annualmente, si richiama l’attenzione sull’opportunità di utilizzare tutti i periodi dell’anno per l’offerta attiva e gratuita.</w:t>
      </w:r>
    </w:p>
    <w:p w:rsidR="0061517F" w:rsidRPr="00963F4B" w:rsidRDefault="0061517F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61517F" w:rsidRPr="00A54B3A" w:rsidRDefault="00A54B3A" w:rsidP="008C37CF">
      <w:pPr>
        <w:pStyle w:val="Corpodeltesto3"/>
        <w:spacing w:after="120"/>
        <w:rPr>
          <w:rFonts w:ascii="Calibri" w:hAnsi="Calibri" w:cs="Calibri"/>
          <w:bCs/>
          <w:iCs/>
          <w:color w:val="FF0000"/>
        </w:rPr>
      </w:pPr>
      <w:r w:rsidRPr="00A54B3A">
        <w:rPr>
          <w:rFonts w:ascii="Calibri" w:hAnsi="Calibri" w:cs="Calibri"/>
          <w:bCs/>
          <w:iCs/>
          <w:color w:val="FF0000"/>
        </w:rPr>
        <w:t xml:space="preserve">APPLICAZIONE DELLA SCHEDULA SEQUENZIALE </w:t>
      </w:r>
    </w:p>
    <w:p w:rsidR="00A54B3A" w:rsidRDefault="002435FC" w:rsidP="00A54B3A">
      <w:pPr>
        <w:pStyle w:val="Corpodeltesto3"/>
        <w:spacing w:before="0" w:after="120" w:line="360" w:lineRule="auto"/>
        <w:jc w:val="both"/>
        <w:rPr>
          <w:rFonts w:ascii="Calibri" w:hAnsi="Calibri" w:cs="Calibri"/>
          <w:b w:val="0"/>
          <w:iCs/>
          <w:lang w:eastAsia="en-US"/>
        </w:rPr>
      </w:pPr>
      <w:r w:rsidRPr="008C37CF">
        <w:rPr>
          <w:rFonts w:ascii="Calibri" w:hAnsi="Calibri" w:cs="Calibri"/>
          <w:b w:val="0"/>
          <w:iCs/>
          <w:lang w:eastAsia="en-US"/>
        </w:rPr>
        <w:t>Possono essere vaccinate con vaccino Pneumovax</w:t>
      </w:r>
      <w:r w:rsidRPr="008C37CF">
        <w:rPr>
          <w:rFonts w:ascii="Calibri" w:hAnsi="Calibri" w:cs="Calibri"/>
          <w:b w:val="0"/>
          <w:bCs/>
          <w:vertAlign w:val="superscript"/>
        </w:rPr>
        <w:t>®</w:t>
      </w:r>
      <w:r w:rsidRPr="008C37CF">
        <w:rPr>
          <w:rFonts w:ascii="Calibri" w:hAnsi="Calibri" w:cs="Calibri"/>
          <w:b w:val="0"/>
          <w:iCs/>
          <w:lang w:eastAsia="en-US"/>
        </w:rPr>
        <w:t xml:space="preserve"> </w:t>
      </w:r>
      <w:r w:rsidRPr="008C37CF">
        <w:rPr>
          <w:rFonts w:ascii="Calibri" w:hAnsi="Calibri" w:cs="Calibri"/>
          <w:b w:val="0"/>
          <w:iCs/>
          <w:lang w:eastAsia="en-US"/>
        </w:rPr>
        <w:t>le persone</w:t>
      </w:r>
      <w:r w:rsidR="00A54B3A">
        <w:rPr>
          <w:rFonts w:ascii="Calibri" w:hAnsi="Calibri" w:cs="Calibri"/>
          <w:b w:val="0"/>
          <w:iCs/>
          <w:lang w:eastAsia="en-US"/>
        </w:rPr>
        <w:t xml:space="preserve"> che presentano </w:t>
      </w:r>
      <w:r w:rsidR="00A54B3A" w:rsidRPr="00A54B3A">
        <w:rPr>
          <w:rFonts w:ascii="Calibri" w:hAnsi="Calibri" w:cs="Calibri"/>
          <w:b w:val="0"/>
          <w:iCs/>
          <w:u w:val="single"/>
          <w:lang w:eastAsia="en-US"/>
        </w:rPr>
        <w:t>contemporaneamente</w:t>
      </w:r>
      <w:r w:rsidR="00A54B3A" w:rsidRPr="00A54B3A">
        <w:rPr>
          <w:rFonts w:ascii="Calibri" w:hAnsi="Calibri" w:cs="Calibri"/>
          <w:b w:val="0"/>
          <w:iCs/>
          <w:u w:val="single"/>
          <w:lang w:eastAsia="en-US"/>
        </w:rPr>
        <w:t xml:space="preserve"> le 3 condizioni di seguito</w:t>
      </w:r>
      <w:r w:rsidR="00A54B3A">
        <w:rPr>
          <w:rFonts w:ascii="Calibri" w:hAnsi="Calibri" w:cs="Calibri"/>
          <w:b w:val="0"/>
          <w:iCs/>
          <w:lang w:eastAsia="en-US"/>
        </w:rPr>
        <w:t>:</w:t>
      </w:r>
    </w:p>
    <w:p w:rsidR="00A54B3A" w:rsidRDefault="00A54B3A" w:rsidP="00A54B3A">
      <w:pPr>
        <w:pStyle w:val="Corpodeltesto3"/>
        <w:spacing w:before="0" w:after="120" w:line="360" w:lineRule="auto"/>
        <w:jc w:val="both"/>
        <w:rPr>
          <w:rFonts w:ascii="Calibri" w:hAnsi="Calibri" w:cs="Calibri"/>
          <w:b w:val="0"/>
          <w:iCs/>
          <w:lang w:eastAsia="en-US"/>
        </w:rPr>
      </w:pPr>
      <w:r w:rsidRPr="00A54B3A">
        <w:rPr>
          <w:rFonts w:ascii="Calibri" w:hAnsi="Calibri" w:cs="Calibri"/>
          <w:b w:val="0"/>
          <w:iCs/>
          <w:u w:val="single"/>
          <w:lang w:eastAsia="en-US"/>
        </w:rPr>
        <w:t>Condizione 1</w:t>
      </w:r>
      <w:r>
        <w:rPr>
          <w:rFonts w:ascii="Calibri" w:hAnsi="Calibri" w:cs="Calibri"/>
          <w:b w:val="0"/>
          <w:iCs/>
          <w:lang w:eastAsia="en-US"/>
        </w:rPr>
        <w:t>: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di età </w:t>
      </w:r>
      <w:r w:rsidR="002435FC" w:rsidRPr="008C37CF">
        <w:rPr>
          <w:rFonts w:ascii="Calibri" w:hAnsi="Calibri" w:cs="Calibri"/>
          <w:iCs/>
          <w:lang w:eastAsia="en-US"/>
        </w:rPr>
        <w:t>superior</w:t>
      </w:r>
      <w:r w:rsidR="002435FC" w:rsidRPr="008C37CF">
        <w:rPr>
          <w:rFonts w:ascii="Calibri" w:hAnsi="Calibri" w:cs="Calibri"/>
          <w:iCs/>
          <w:lang w:eastAsia="en-US"/>
        </w:rPr>
        <w:t>e a 5 anni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alla data di vaccinazione </w:t>
      </w:r>
    </w:p>
    <w:p w:rsidR="00A54B3A" w:rsidRDefault="00A54B3A" w:rsidP="00A54B3A">
      <w:pPr>
        <w:pStyle w:val="Corpodeltesto3"/>
        <w:spacing w:before="0" w:after="120" w:line="360" w:lineRule="auto"/>
        <w:jc w:val="both"/>
        <w:rPr>
          <w:rFonts w:ascii="Calibri" w:hAnsi="Calibri" w:cs="Calibri"/>
          <w:b w:val="0"/>
          <w:iCs/>
          <w:lang w:eastAsia="en-US"/>
        </w:rPr>
      </w:pPr>
      <w:r w:rsidRPr="00A54B3A">
        <w:rPr>
          <w:rFonts w:ascii="Calibri" w:hAnsi="Calibri" w:cs="Calibri"/>
          <w:b w:val="0"/>
          <w:iCs/>
          <w:u w:val="single"/>
          <w:lang w:eastAsia="en-US"/>
        </w:rPr>
        <w:lastRenderedPageBreak/>
        <w:t>Condizione 2</w:t>
      </w:r>
      <w:r>
        <w:rPr>
          <w:rFonts w:ascii="Calibri" w:hAnsi="Calibri" w:cs="Calibri"/>
          <w:b w:val="0"/>
          <w:iCs/>
          <w:lang w:eastAsia="en-US"/>
        </w:rPr>
        <w:t xml:space="preserve">: </w:t>
      </w:r>
      <w:r w:rsidR="002435FC" w:rsidRPr="008C37CF">
        <w:rPr>
          <w:rFonts w:ascii="Calibri" w:hAnsi="Calibri" w:cs="Calibri"/>
          <w:iCs/>
          <w:lang w:eastAsia="en-US"/>
        </w:rPr>
        <w:t>già vaccinate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con vaccino Prevenar 13</w:t>
      </w:r>
      <w:r w:rsidR="002435FC" w:rsidRPr="008C37CF">
        <w:rPr>
          <w:rFonts w:ascii="Calibri" w:hAnsi="Calibri" w:cs="Calibri"/>
          <w:b w:val="0"/>
          <w:bCs/>
          <w:vertAlign w:val="superscript"/>
        </w:rPr>
        <w:t>®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o, in futuro, con vaccino Vaxneuvance</w:t>
      </w:r>
      <w:r w:rsidR="002435FC" w:rsidRPr="008C37CF">
        <w:rPr>
          <w:rFonts w:ascii="Calibri" w:hAnsi="Calibri" w:cs="Calibri"/>
          <w:b w:val="0"/>
          <w:bCs/>
          <w:vertAlign w:val="superscript"/>
        </w:rPr>
        <w:t>®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</w:t>
      </w:r>
    </w:p>
    <w:p w:rsidR="00A54B3A" w:rsidRDefault="00A54B3A" w:rsidP="00A54B3A">
      <w:pPr>
        <w:pStyle w:val="Corpodeltesto3"/>
        <w:spacing w:before="0" w:after="120" w:line="360" w:lineRule="auto"/>
        <w:jc w:val="both"/>
        <w:rPr>
          <w:rFonts w:ascii="Calibri" w:hAnsi="Calibri" w:cs="Calibri"/>
          <w:b w:val="0"/>
          <w:iCs/>
          <w:lang w:eastAsia="en-US"/>
        </w:rPr>
      </w:pPr>
      <w:r w:rsidRPr="00A54B3A">
        <w:rPr>
          <w:rFonts w:ascii="Calibri" w:hAnsi="Calibri" w:cs="Calibri"/>
          <w:b w:val="0"/>
          <w:iCs/>
          <w:u w:val="single"/>
          <w:lang w:eastAsia="en-US"/>
        </w:rPr>
        <w:t>Condizione 3</w:t>
      </w:r>
      <w:r>
        <w:rPr>
          <w:rFonts w:ascii="Calibri" w:hAnsi="Calibri" w:cs="Calibri"/>
          <w:b w:val="0"/>
          <w:iCs/>
          <w:lang w:eastAsia="en-US"/>
        </w:rPr>
        <w:t>: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</w:t>
      </w:r>
      <w:r w:rsidR="002435FC" w:rsidRPr="008C37CF">
        <w:rPr>
          <w:rFonts w:ascii="Calibri" w:hAnsi="Calibri" w:cs="Calibri"/>
          <w:b w:val="0"/>
          <w:iCs/>
          <w:lang w:eastAsia="en-US"/>
        </w:rPr>
        <w:t>la vaccinazione con vaccino Pneumovax</w:t>
      </w:r>
      <w:r w:rsidR="002435FC" w:rsidRPr="008C37CF">
        <w:rPr>
          <w:rFonts w:ascii="Calibri" w:hAnsi="Calibri" w:cs="Calibri"/>
          <w:b w:val="0"/>
          <w:bCs/>
          <w:vertAlign w:val="superscript"/>
        </w:rPr>
        <w:t>®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</w:t>
      </w:r>
      <w:r>
        <w:rPr>
          <w:rFonts w:ascii="Calibri" w:hAnsi="Calibri" w:cs="Calibri"/>
          <w:b w:val="0"/>
          <w:iCs/>
          <w:lang w:eastAsia="en-US"/>
        </w:rPr>
        <w:t>va effettuata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</w:t>
      </w:r>
      <w:r w:rsidR="002435FC" w:rsidRPr="008C37CF">
        <w:rPr>
          <w:rFonts w:ascii="Calibri" w:hAnsi="Calibri" w:cs="Calibri"/>
          <w:iCs/>
          <w:lang w:eastAsia="en-US"/>
        </w:rPr>
        <w:t>a distanza di almeno un anno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dalla vaccinazione con v</w:t>
      </w:r>
      <w:r w:rsidR="002435FC" w:rsidRPr="008C37CF">
        <w:rPr>
          <w:rFonts w:ascii="Calibri" w:hAnsi="Calibri" w:cs="Calibri"/>
          <w:b w:val="0"/>
          <w:iCs/>
          <w:lang w:eastAsia="en-US"/>
        </w:rPr>
        <w:t>accino Prevenar 13</w:t>
      </w:r>
      <w:r w:rsidR="002435FC" w:rsidRPr="008C37CF">
        <w:rPr>
          <w:rFonts w:ascii="Calibri" w:hAnsi="Calibri" w:cs="Calibri"/>
          <w:b w:val="0"/>
          <w:bCs/>
          <w:vertAlign w:val="superscript"/>
        </w:rPr>
        <w:t>®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o con vaccino Vaxneuvance</w:t>
      </w:r>
      <w:r w:rsidR="002435FC" w:rsidRPr="008C37CF">
        <w:rPr>
          <w:rFonts w:ascii="Calibri" w:hAnsi="Calibri" w:cs="Calibri"/>
          <w:b w:val="0"/>
          <w:bCs/>
          <w:vertAlign w:val="superscript"/>
        </w:rPr>
        <w:t>®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. </w:t>
      </w:r>
    </w:p>
    <w:p w:rsidR="008C37CF" w:rsidRDefault="002435FC" w:rsidP="00A54B3A">
      <w:pPr>
        <w:pStyle w:val="Corpodeltesto3"/>
        <w:spacing w:before="0" w:after="120" w:line="360" w:lineRule="auto"/>
        <w:jc w:val="both"/>
        <w:rPr>
          <w:rFonts w:ascii="Calibri" w:hAnsi="Calibri" w:cs="Calibri"/>
          <w:b w:val="0"/>
          <w:iCs/>
          <w:lang w:eastAsia="en-US"/>
        </w:rPr>
      </w:pPr>
      <w:r w:rsidRPr="008C37CF">
        <w:rPr>
          <w:rFonts w:ascii="Calibri" w:hAnsi="Calibri" w:cs="Calibri"/>
          <w:b w:val="0"/>
          <w:iCs/>
          <w:lang w:eastAsia="en-US"/>
        </w:rPr>
        <w:t xml:space="preserve">Per le persone di età </w:t>
      </w:r>
      <w:r w:rsidR="00A54B3A">
        <w:rPr>
          <w:rFonts w:ascii="Calibri" w:hAnsi="Calibri" w:cs="Calibri"/>
          <w:b w:val="0"/>
          <w:iCs/>
          <w:lang w:eastAsia="en-US"/>
        </w:rPr>
        <w:t>&gt;5</w:t>
      </w:r>
      <w:r w:rsidRPr="008C37CF">
        <w:rPr>
          <w:rFonts w:ascii="Calibri" w:hAnsi="Calibri" w:cs="Calibri"/>
          <w:b w:val="0"/>
          <w:iCs/>
          <w:lang w:eastAsia="en-US"/>
        </w:rPr>
        <w:t xml:space="preserve"> e </w:t>
      </w:r>
      <w:r w:rsidR="00A54B3A">
        <w:rPr>
          <w:rFonts w:ascii="Calibri" w:hAnsi="Calibri" w:cs="Calibri"/>
          <w:b w:val="0"/>
          <w:iCs/>
          <w:lang w:eastAsia="en-US"/>
        </w:rPr>
        <w:t>&lt;</w:t>
      </w:r>
      <w:r w:rsidRPr="008C37CF">
        <w:rPr>
          <w:rFonts w:ascii="Calibri" w:hAnsi="Calibri" w:cs="Calibri"/>
          <w:b w:val="0"/>
          <w:iCs/>
          <w:lang w:eastAsia="en-US"/>
        </w:rPr>
        <w:t xml:space="preserve">65 anni </w:t>
      </w:r>
      <w:r w:rsidRPr="008C37CF">
        <w:rPr>
          <w:rFonts w:ascii="Calibri" w:hAnsi="Calibri" w:cs="Calibri"/>
          <w:b w:val="0"/>
          <w:iCs/>
          <w:lang w:eastAsia="en-US"/>
        </w:rPr>
        <w:t xml:space="preserve">deve essere </w:t>
      </w:r>
      <w:r w:rsidRPr="008C37CF">
        <w:rPr>
          <w:rFonts w:ascii="Calibri" w:hAnsi="Calibri" w:cs="Calibri"/>
          <w:b w:val="0"/>
          <w:iCs/>
          <w:lang w:eastAsia="en-US"/>
        </w:rPr>
        <w:t>verificata la prese</w:t>
      </w:r>
      <w:r w:rsidRPr="008C37CF">
        <w:rPr>
          <w:rFonts w:ascii="Calibri" w:hAnsi="Calibri" w:cs="Calibri"/>
          <w:b w:val="0"/>
          <w:iCs/>
          <w:lang w:eastAsia="en-US"/>
        </w:rPr>
        <w:t xml:space="preserve">nza di una </w:t>
      </w:r>
      <w:r w:rsidRPr="008C37CF">
        <w:rPr>
          <w:rFonts w:ascii="Calibri" w:hAnsi="Calibri" w:cs="Calibri"/>
          <w:b w:val="0"/>
        </w:rPr>
        <w:t>patologi</w:t>
      </w:r>
      <w:r w:rsidR="008C37CF">
        <w:rPr>
          <w:rFonts w:ascii="Calibri" w:hAnsi="Calibri" w:cs="Calibri"/>
          <w:b w:val="0"/>
        </w:rPr>
        <w:t>a</w:t>
      </w:r>
      <w:r w:rsidR="00A54B3A">
        <w:rPr>
          <w:rFonts w:ascii="Calibri" w:hAnsi="Calibri" w:cs="Calibri"/>
          <w:b w:val="0"/>
        </w:rPr>
        <w:t>/</w:t>
      </w:r>
      <w:r w:rsidRPr="008C37CF">
        <w:rPr>
          <w:rFonts w:ascii="Calibri" w:hAnsi="Calibri" w:cs="Calibri"/>
          <w:b w:val="0"/>
        </w:rPr>
        <w:t>condizion</w:t>
      </w:r>
      <w:r w:rsidR="008C37CF">
        <w:rPr>
          <w:rFonts w:ascii="Calibri" w:hAnsi="Calibri" w:cs="Calibri"/>
          <w:b w:val="0"/>
        </w:rPr>
        <w:t xml:space="preserve">e </w:t>
      </w:r>
      <w:r w:rsidR="00A54B3A">
        <w:rPr>
          <w:rFonts w:ascii="Calibri" w:hAnsi="Calibri" w:cs="Calibri"/>
          <w:b w:val="0"/>
        </w:rPr>
        <w:t>di rischio</w:t>
      </w:r>
      <w:r w:rsidRPr="008C37CF">
        <w:rPr>
          <w:rFonts w:ascii="Calibri" w:hAnsi="Calibri" w:cs="Calibri"/>
          <w:b w:val="0"/>
          <w:iCs/>
          <w:lang w:eastAsia="en-US"/>
        </w:rPr>
        <w:t xml:space="preserve">. </w:t>
      </w:r>
    </w:p>
    <w:p w:rsidR="0061517F" w:rsidRPr="008C37CF" w:rsidRDefault="008C37CF">
      <w:pPr>
        <w:pStyle w:val="Corpodeltesto3"/>
        <w:spacing w:before="0" w:after="120" w:line="360" w:lineRule="auto"/>
        <w:jc w:val="both"/>
        <w:rPr>
          <w:rFonts w:ascii="Calibri" w:hAnsi="Calibri" w:cs="Calibri"/>
          <w:b w:val="0"/>
          <w:iCs/>
          <w:lang w:eastAsia="en-US"/>
        </w:rPr>
      </w:pPr>
      <w:r>
        <w:rPr>
          <w:rFonts w:ascii="Calibri" w:hAnsi="Calibri" w:cs="Calibri"/>
          <w:b w:val="0"/>
          <w:iCs/>
          <w:lang w:eastAsia="en-US"/>
        </w:rPr>
        <w:t>Il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sistema di registrazione </w:t>
      </w:r>
      <w:r w:rsidR="002435FC" w:rsidRPr="008C37CF">
        <w:rPr>
          <w:rFonts w:ascii="Calibri" w:hAnsi="Calibri" w:cs="Calibri"/>
          <w:b w:val="0"/>
          <w:iCs/>
          <w:lang w:eastAsia="en-US"/>
        </w:rPr>
        <w:t>consentirà la registraz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ione di una vaccinazione 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con </w:t>
      </w:r>
      <w:r w:rsidR="002435FC" w:rsidRPr="008C37CF">
        <w:rPr>
          <w:rFonts w:ascii="Calibri" w:hAnsi="Calibri" w:cs="Calibri"/>
          <w:b w:val="0"/>
          <w:iCs/>
          <w:lang w:eastAsia="en-US"/>
        </w:rPr>
        <w:t>Pneumovax</w:t>
      </w:r>
      <w:r w:rsidR="002435FC" w:rsidRPr="008C37CF">
        <w:rPr>
          <w:rFonts w:ascii="Calibri" w:hAnsi="Calibri" w:cs="Calibri"/>
          <w:b w:val="0"/>
          <w:bCs/>
          <w:vertAlign w:val="superscript"/>
        </w:rPr>
        <w:t>®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 solo se risult</w:t>
      </w:r>
      <w:r w:rsidR="00A54B3A">
        <w:rPr>
          <w:rFonts w:ascii="Calibri" w:hAnsi="Calibri" w:cs="Calibri"/>
          <w:b w:val="0"/>
          <w:iCs/>
          <w:lang w:eastAsia="en-US"/>
        </w:rPr>
        <w:t>a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no 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contemporaneamente </w:t>
      </w:r>
      <w:r w:rsidR="002435FC" w:rsidRPr="008C37CF">
        <w:rPr>
          <w:rFonts w:ascii="Calibri" w:hAnsi="Calibri" w:cs="Calibri"/>
          <w:b w:val="0"/>
          <w:iCs/>
          <w:lang w:eastAsia="en-US"/>
        </w:rPr>
        <w:t xml:space="preserve">rispettate </w:t>
      </w:r>
      <w:r w:rsidR="002435FC" w:rsidRPr="008C37CF">
        <w:rPr>
          <w:rFonts w:ascii="Calibri" w:hAnsi="Calibri" w:cs="Calibri"/>
          <w:b w:val="0"/>
          <w:iCs/>
          <w:lang w:eastAsia="en-US"/>
        </w:rPr>
        <w:t>le 3 condizioni</w:t>
      </w:r>
      <w:r w:rsidR="002435FC" w:rsidRPr="008C37CF">
        <w:rPr>
          <w:rFonts w:ascii="Calibri" w:hAnsi="Calibri" w:cs="Calibri"/>
          <w:b w:val="0"/>
          <w:iCs/>
          <w:lang w:eastAsia="en-US"/>
        </w:rPr>
        <w:t>.</w:t>
      </w:r>
    </w:p>
    <w:p w:rsidR="0061517F" w:rsidRPr="00963F4B" w:rsidRDefault="00A54B3A">
      <w:pPr>
        <w:spacing w:before="240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  <w:u w:val="single"/>
          <w:lang w:eastAsia="en-US"/>
        </w:rPr>
        <w:t>N</w:t>
      </w:r>
      <w:r w:rsidR="002435FC" w:rsidRPr="00963F4B">
        <w:rPr>
          <w:rFonts w:ascii="Calibri" w:hAnsi="Calibri" w:cs="Calibri"/>
          <w:b/>
          <w:iCs/>
          <w:sz w:val="22"/>
          <w:szCs w:val="22"/>
          <w:u w:val="single"/>
          <w:lang w:eastAsia="en-US"/>
        </w:rPr>
        <w:t xml:space="preserve">on invertire l’ordine di somministrazione dei </w:t>
      </w:r>
      <w:r w:rsidR="002435FC" w:rsidRPr="00963F4B">
        <w:rPr>
          <w:rFonts w:ascii="Calibri" w:hAnsi="Calibri" w:cs="Calibri"/>
          <w:b/>
          <w:iCs/>
          <w:sz w:val="22"/>
          <w:szCs w:val="22"/>
          <w:u w:val="single"/>
          <w:lang w:eastAsia="en-US"/>
        </w:rPr>
        <w:t xml:space="preserve">vaccini, perché </w:t>
      </w:r>
      <w:r>
        <w:rPr>
          <w:rFonts w:ascii="Calibri" w:hAnsi="Calibri" w:cs="Calibri"/>
          <w:b/>
          <w:iCs/>
          <w:sz w:val="22"/>
          <w:szCs w:val="22"/>
          <w:u w:val="single"/>
          <w:lang w:eastAsia="en-US"/>
        </w:rPr>
        <w:t>il rischio di</w:t>
      </w:r>
      <w:r w:rsidR="002435FC" w:rsidRPr="00963F4B">
        <w:rPr>
          <w:rFonts w:ascii="Calibri" w:hAnsi="Calibri" w:cs="Calibri"/>
          <w:b/>
          <w:iCs/>
          <w:sz w:val="22"/>
          <w:szCs w:val="22"/>
          <w:u w:val="single"/>
          <w:lang w:eastAsia="en-US"/>
        </w:rPr>
        <w:t xml:space="preserve"> una più bassa risposta immune</w:t>
      </w:r>
      <w:r w:rsidR="002435FC" w:rsidRPr="00963F4B">
        <w:rPr>
          <w:rFonts w:ascii="Calibri" w:hAnsi="Calibri" w:cs="Calibri"/>
          <w:b/>
          <w:sz w:val="22"/>
          <w:szCs w:val="22"/>
          <w:u w:val="single"/>
        </w:rPr>
        <w:t>.</w:t>
      </w:r>
    </w:p>
    <w:p w:rsidR="0061517F" w:rsidRPr="00963F4B" w:rsidRDefault="002435FC">
      <w:pPr>
        <w:pStyle w:val="Corpodeltesto3"/>
        <w:spacing w:before="0" w:after="120" w:line="360" w:lineRule="auto"/>
        <w:jc w:val="both"/>
        <w:rPr>
          <w:rFonts w:ascii="Calibri" w:hAnsi="Calibri" w:cs="Calibri"/>
          <w:iCs/>
          <w:u w:val="single"/>
          <w:lang w:eastAsia="en-US"/>
        </w:rPr>
      </w:pPr>
      <w:r w:rsidRPr="00963F4B">
        <w:rPr>
          <w:rFonts w:ascii="Calibri" w:hAnsi="Calibri" w:cs="Calibri"/>
          <w:iCs/>
          <w:u w:val="single"/>
          <w:lang w:eastAsia="en-US"/>
        </w:rPr>
        <w:t xml:space="preserve"> </w:t>
      </w:r>
    </w:p>
    <w:p w:rsidR="008C37CF" w:rsidRDefault="00A54B3A">
      <w:pPr>
        <w:pStyle w:val="Corpodeltesto3"/>
        <w:spacing w:before="0" w:after="120" w:line="360" w:lineRule="auto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P</w:t>
      </w:r>
      <w:r w:rsidR="002435FC" w:rsidRPr="00963F4B">
        <w:rPr>
          <w:rFonts w:ascii="Calibri" w:hAnsi="Calibri" w:cs="Calibri"/>
          <w:b w:val="0"/>
        </w:rPr>
        <w:t xml:space="preserve">er le persone a rischio di età </w:t>
      </w:r>
      <w:r w:rsidR="002435FC" w:rsidRPr="00963F4B">
        <w:rPr>
          <w:rFonts w:ascii="Calibri" w:hAnsi="Calibri" w:cs="Calibri"/>
          <w:b w:val="0"/>
        </w:rPr>
        <w:t>≥ 2 anni e &lt; 6 anni</w:t>
      </w:r>
      <w:r w:rsidR="002435FC" w:rsidRPr="00963F4B">
        <w:rPr>
          <w:rFonts w:ascii="Calibri" w:hAnsi="Calibri" w:cs="Calibri"/>
          <w:b w:val="0"/>
        </w:rPr>
        <w:t xml:space="preserve">, </w:t>
      </w:r>
      <w:r w:rsidR="002435FC" w:rsidRPr="00963F4B">
        <w:rPr>
          <w:rFonts w:ascii="Calibri" w:hAnsi="Calibri" w:cs="Calibri"/>
          <w:b w:val="0"/>
        </w:rPr>
        <w:t>vaccinate in precedenza con vaccino Prevenar 13</w:t>
      </w:r>
      <w:r w:rsidR="002435FC" w:rsidRPr="00963F4B">
        <w:rPr>
          <w:rFonts w:ascii="Calibri" w:hAnsi="Calibri" w:cs="Calibri"/>
          <w:bCs/>
          <w:vertAlign w:val="superscript"/>
        </w:rPr>
        <w:t>®</w:t>
      </w:r>
      <w:r w:rsidR="002435FC" w:rsidRPr="00963F4B">
        <w:rPr>
          <w:rFonts w:ascii="Calibri" w:hAnsi="Calibri" w:cs="Calibri"/>
          <w:b w:val="0"/>
        </w:rPr>
        <w:t>, è raccomandata la s</w:t>
      </w:r>
      <w:r w:rsidR="002435FC" w:rsidRPr="00963F4B">
        <w:rPr>
          <w:rFonts w:ascii="Calibri" w:hAnsi="Calibri" w:cs="Calibri"/>
          <w:b w:val="0"/>
        </w:rPr>
        <w:t xml:space="preserve">omministrazione di una </w:t>
      </w:r>
      <w:r>
        <w:rPr>
          <w:rFonts w:ascii="Calibri" w:hAnsi="Calibri" w:cs="Calibri"/>
          <w:b w:val="0"/>
        </w:rPr>
        <w:t>seconda</w:t>
      </w:r>
      <w:r w:rsidR="002435FC" w:rsidRPr="00963F4B">
        <w:rPr>
          <w:rFonts w:ascii="Calibri" w:hAnsi="Calibri" w:cs="Calibri"/>
          <w:b w:val="0"/>
        </w:rPr>
        <w:t xml:space="preserve"> dose di </w:t>
      </w:r>
      <w:r w:rsidR="002435FC" w:rsidRPr="00963F4B">
        <w:rPr>
          <w:rFonts w:ascii="Calibri" w:hAnsi="Calibri" w:cs="Calibri"/>
          <w:b w:val="0"/>
        </w:rPr>
        <w:t>Prevenar 13</w:t>
      </w:r>
      <w:r w:rsidR="002435FC" w:rsidRPr="00963F4B">
        <w:rPr>
          <w:rFonts w:ascii="Calibri" w:hAnsi="Calibri" w:cs="Calibri"/>
          <w:bCs/>
          <w:vertAlign w:val="superscript"/>
        </w:rPr>
        <w:t>®</w:t>
      </w:r>
      <w:r w:rsidR="002435FC" w:rsidRPr="00963F4B">
        <w:rPr>
          <w:rFonts w:ascii="Calibri" w:hAnsi="Calibri" w:cs="Calibri"/>
          <w:b w:val="0"/>
        </w:rPr>
        <w:t xml:space="preserve"> a distanza di 2 mesi dalla prima</w:t>
      </w:r>
      <w:r w:rsidR="002435FC" w:rsidRPr="00963F4B">
        <w:rPr>
          <w:rFonts w:ascii="Calibri" w:hAnsi="Calibri" w:cs="Calibri"/>
          <w:b w:val="0"/>
        </w:rPr>
        <w:t>.</w:t>
      </w:r>
    </w:p>
    <w:p w:rsidR="008C37CF" w:rsidRPr="00963F4B" w:rsidRDefault="008C37CF">
      <w:pPr>
        <w:pStyle w:val="Corpodeltesto3"/>
        <w:spacing w:before="0" w:after="120" w:line="360" w:lineRule="auto"/>
        <w:jc w:val="both"/>
        <w:rPr>
          <w:rFonts w:ascii="Calibri" w:hAnsi="Calibri" w:cs="Calibri"/>
          <w:b w:val="0"/>
        </w:rPr>
      </w:pPr>
    </w:p>
    <w:sectPr w:rsidR="008C37CF" w:rsidRPr="00963F4B">
      <w:footerReference w:type="default" r:id="rId8"/>
      <w:headerReference w:type="first" r:id="rId9"/>
      <w:footerReference w:type="first" r:id="rId10"/>
      <w:pgSz w:w="11906" w:h="16838"/>
      <w:pgMar w:top="708" w:right="1134" w:bottom="1134" w:left="1134" w:header="708" w:footer="708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FC" w:rsidRDefault="002435FC">
      <w:r>
        <w:separator/>
      </w:r>
    </w:p>
  </w:endnote>
  <w:endnote w:type="continuationSeparator" w:id="0">
    <w:p w:rsidR="002435FC" w:rsidRDefault="0024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722019"/>
      <w:docPartObj>
        <w:docPartGallery w:val="Page Numbers (Bottom of Page)"/>
        <w:docPartUnique/>
      </w:docPartObj>
    </w:sdtPr>
    <w:sdtEndPr/>
    <w:sdtContent>
      <w:p w:rsidR="0061517F" w:rsidRDefault="002435FC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A4C2D">
          <w:rPr>
            <w:noProof/>
          </w:rPr>
          <w:t>2</w:t>
        </w:r>
        <w:r>
          <w:fldChar w:fldCharType="end"/>
        </w:r>
      </w:p>
      <w:p w:rsidR="0061517F" w:rsidRDefault="002435FC">
        <w:pPr>
          <w:pStyle w:val="Pidipagin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071935"/>
      <w:docPartObj>
        <w:docPartGallery w:val="Page Numbers (Bottom of Page)"/>
        <w:docPartUnique/>
      </w:docPartObj>
    </w:sdtPr>
    <w:sdtEndPr/>
    <w:sdtContent>
      <w:p w:rsidR="0061517F" w:rsidRDefault="002435FC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A4C2D">
          <w:rPr>
            <w:noProof/>
          </w:rPr>
          <w:t>1</w:t>
        </w:r>
        <w:r>
          <w:fldChar w:fldCharType="end"/>
        </w:r>
      </w:p>
    </w:sdtContent>
  </w:sdt>
  <w:p w:rsidR="0061517F" w:rsidRDefault="006151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FC" w:rsidRDefault="002435FC">
      <w:r>
        <w:separator/>
      </w:r>
    </w:p>
  </w:footnote>
  <w:footnote w:type="continuationSeparator" w:id="0">
    <w:p w:rsidR="002435FC" w:rsidRDefault="0024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7F" w:rsidRDefault="0061517F">
    <w:pPr>
      <w:pStyle w:val="Intestazione"/>
      <w:rPr>
        <w:rFonts w:ascii="Century Schoolbook" w:hAnsi="Century Schoolbook"/>
        <w:b/>
        <w:sz w:val="20"/>
        <w:szCs w:val="20"/>
        <w:u w:val="single"/>
      </w:rPr>
    </w:pPr>
  </w:p>
  <w:p w:rsidR="0061517F" w:rsidRDefault="006151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800"/>
    <w:multiLevelType w:val="multilevel"/>
    <w:tmpl w:val="CC16FE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E13352"/>
    <w:multiLevelType w:val="multilevel"/>
    <w:tmpl w:val="0E46F3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90369B"/>
    <w:multiLevelType w:val="hybridMultilevel"/>
    <w:tmpl w:val="8A74F1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7F"/>
    <w:rsid w:val="002435FC"/>
    <w:rsid w:val="00385F31"/>
    <w:rsid w:val="0061517F"/>
    <w:rsid w:val="008C37CF"/>
    <w:rsid w:val="00963F4B"/>
    <w:rsid w:val="00A54B3A"/>
    <w:rsid w:val="00AC32E0"/>
    <w:rsid w:val="00D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7C33"/>
  <w15:docId w15:val="{8F3137E3-631D-43A1-AB13-93533347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71E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A2F13"/>
    <w:pPr>
      <w:keepNext/>
      <w:outlineLvl w:val="0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17304C"/>
    <w:rPr>
      <w:rFonts w:ascii="Arial" w:eastAsia="Times New Roman" w:hAnsi="Arial" w:cs="Arial"/>
      <w:i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17304C"/>
    <w:rPr>
      <w:rFonts w:ascii="Arial" w:eastAsia="Times New Roman" w:hAnsi="Arial" w:cs="Arial"/>
      <w:b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1730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qFormat/>
    <w:rsid w:val="0017304C"/>
    <w:rPr>
      <w:vertAlign w:val="superscript"/>
    </w:rPr>
  </w:style>
  <w:style w:type="character" w:styleId="Numeropagina">
    <w:name w:val="page number"/>
    <w:basedOn w:val="Carpredefinitoparagrafo"/>
    <w:qFormat/>
    <w:rsid w:val="00DD4671"/>
  </w:style>
  <w:style w:type="character" w:customStyle="1" w:styleId="CollegamentoInternet">
    <w:name w:val="Collegamento Internet"/>
    <w:basedOn w:val="Carpredefinitoparagrafo"/>
    <w:uiPriority w:val="99"/>
    <w:unhideWhenUsed/>
    <w:rsid w:val="00F17F5D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F17F5D"/>
    <w:rPr>
      <w:color w:val="800080" w:themeColor="followedHyperlink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0506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06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506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D3641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CA2F1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CA2F13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5B411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C977C2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17304C"/>
    <w:pPr>
      <w:spacing w:before="240"/>
      <w:jc w:val="both"/>
    </w:pPr>
    <w:rPr>
      <w:rFonts w:ascii="Arial" w:hAnsi="Arial" w:cs="Arial"/>
      <w:i/>
      <w:sz w:val="22"/>
      <w:szCs w:val="22"/>
      <w:u w:val="singl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3">
    <w:name w:val="Body Text 3"/>
    <w:basedOn w:val="Normale"/>
    <w:link w:val="Corpodeltesto3Carattere"/>
    <w:qFormat/>
    <w:rsid w:val="0017304C"/>
    <w:pPr>
      <w:spacing w:before="120"/>
      <w:jc w:val="center"/>
    </w:pPr>
    <w:rPr>
      <w:rFonts w:ascii="Arial" w:hAnsi="Arial" w:cs="Arial"/>
      <w:b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rsid w:val="0017304C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D6B11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50698"/>
    <w:pPr>
      <w:spacing w:after="120"/>
      <w:ind w:left="28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0506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506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D364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CA2F13"/>
    <w:pPr>
      <w:spacing w:after="120" w:line="480" w:lineRule="auto"/>
    </w:pPr>
  </w:style>
  <w:style w:type="paragraph" w:customStyle="1" w:styleId="Default">
    <w:name w:val="Default"/>
    <w:qFormat/>
    <w:rsid w:val="00CA2F13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5B4115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7E21-3363-4535-998F-A5EA64B7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Volpe</dc:creator>
  <dc:description/>
  <cp:lastModifiedBy>CRISTINA GIAMBI</cp:lastModifiedBy>
  <cp:revision>43</cp:revision>
  <cp:lastPrinted>2015-09-17T12:03:00Z</cp:lastPrinted>
  <dcterms:created xsi:type="dcterms:W3CDTF">2020-06-26T11:58:00Z</dcterms:created>
  <dcterms:modified xsi:type="dcterms:W3CDTF">2022-08-25T10:53:00Z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